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C691D" w14:textId="77777777" w:rsidR="002D62E1" w:rsidRDefault="002D62E1">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FA81B0A" w14:textId="77777777" w:rsidR="002D62E1" w:rsidRDefault="002D62E1">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For any corrections, remarks, or suggestions, kindly contact us on translate@lloc.gov.bh</w:t>
      </w:r>
    </w:p>
    <w:p w14:paraId="4B408A87" w14:textId="6F2255BA" w:rsidR="002D62E1" w:rsidRDefault="002D62E1">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Published on the website on May 2024</w:t>
      </w:r>
      <w:r>
        <w:rPr>
          <w:rFonts w:ascii="Arial" w:eastAsia="Times New Roman" w:hAnsi="Arial" w:cs="Arial"/>
          <w:sz w:val="28"/>
          <w:szCs w:val="28"/>
          <w:lang w:eastAsia="fr-FR"/>
        </w:rPr>
        <w:br w:type="page"/>
      </w:r>
    </w:p>
    <w:p w14:paraId="449D754A" w14:textId="77777777" w:rsidR="00DC312F" w:rsidRPr="00DC312F" w:rsidRDefault="00DC312F" w:rsidP="007955FA">
      <w:pPr>
        <w:spacing w:before="120" w:after="0" w:line="360" w:lineRule="auto"/>
        <w:rPr>
          <w:rFonts w:ascii="Arial" w:eastAsia="Times New Roman" w:hAnsi="Arial" w:cs="Arial"/>
          <w:sz w:val="28"/>
          <w:szCs w:val="28"/>
          <w:lang w:eastAsia="fr-FR"/>
        </w:rPr>
      </w:pPr>
    </w:p>
    <w:p w14:paraId="060F3FBA" w14:textId="77777777" w:rsidR="00DC312F" w:rsidRPr="00DC312F" w:rsidRDefault="00DC312F" w:rsidP="007955FA">
      <w:pPr>
        <w:spacing w:before="120" w:after="0" w:line="360" w:lineRule="auto"/>
        <w:rPr>
          <w:rFonts w:ascii="Arial" w:eastAsia="Times New Roman" w:hAnsi="Arial" w:cs="Arial"/>
          <w:b/>
          <w:bCs/>
          <w:sz w:val="28"/>
          <w:szCs w:val="28"/>
          <w:lang w:val="en-GB" w:eastAsia="fr-FR"/>
        </w:rPr>
      </w:pPr>
      <w:r w:rsidRPr="00DC312F">
        <w:rPr>
          <w:rFonts w:ascii="Arial" w:eastAsia="Times New Roman" w:hAnsi="Arial" w:cs="Arial"/>
          <w:b/>
          <w:bCs/>
          <w:sz w:val="28"/>
          <w:szCs w:val="28"/>
          <w:lang w:val="en-GB" w:eastAsia="fr-FR"/>
        </w:rPr>
        <w:t>Ministry of Justice, Islamic Affairs and Waqf</w:t>
      </w:r>
    </w:p>
    <w:p w14:paraId="120C7E84" w14:textId="3A595011" w:rsidR="00DC312F" w:rsidRPr="00DC312F" w:rsidRDefault="00DC312F" w:rsidP="007955FA">
      <w:pPr>
        <w:spacing w:before="120" w:after="0" w:line="360" w:lineRule="auto"/>
        <w:jc w:val="center"/>
        <w:rPr>
          <w:rFonts w:ascii="Arial" w:eastAsia="Times New Roman" w:hAnsi="Arial" w:cs="Arial"/>
          <w:b/>
          <w:bCs/>
          <w:sz w:val="28"/>
          <w:szCs w:val="28"/>
          <w:lang w:val="en-GB" w:eastAsia="fr-FR"/>
        </w:rPr>
      </w:pPr>
      <w:r w:rsidRPr="00DC312F">
        <w:rPr>
          <w:rFonts w:ascii="Arial" w:eastAsia="Times New Roman" w:hAnsi="Arial" w:cs="Arial"/>
          <w:b/>
          <w:bCs/>
          <w:sz w:val="28"/>
          <w:szCs w:val="28"/>
          <w:lang w:val="en-GB" w:eastAsia="fr-FR"/>
        </w:rPr>
        <w:t xml:space="preserve">Decision No. (27) of 2023 amending some provisions of Decision No. (89) of 2018 regarding the Regulation of </w:t>
      </w:r>
      <w:r w:rsidRPr="00DC312F">
        <w:rPr>
          <w:rFonts w:ascii="Arial" w:eastAsia="Arial" w:hAnsi="Arial" w:cs="Arial"/>
          <w:b/>
          <w:bCs/>
          <w:sz w:val="28"/>
          <w:szCs w:val="28"/>
          <w:lang w:val="en-GB"/>
        </w:rPr>
        <w:t xml:space="preserve">Notification </w:t>
      </w:r>
      <w:r w:rsidRPr="00DC312F">
        <w:rPr>
          <w:rFonts w:ascii="Arial" w:eastAsia="Times New Roman" w:hAnsi="Arial" w:cs="Arial"/>
          <w:b/>
          <w:bCs/>
          <w:sz w:val="28"/>
          <w:szCs w:val="28"/>
          <w:lang w:val="en-GB" w:eastAsia="fr-FR"/>
        </w:rPr>
        <w:t>by Electronic Means</w:t>
      </w:r>
    </w:p>
    <w:p w14:paraId="045E4D6C" w14:textId="77777777" w:rsidR="00DC312F" w:rsidRPr="00DC312F" w:rsidRDefault="00DC312F" w:rsidP="007955FA">
      <w:pPr>
        <w:spacing w:before="120" w:after="0" w:line="360" w:lineRule="auto"/>
        <w:rPr>
          <w:rFonts w:ascii="Arial" w:eastAsia="Times New Roman" w:hAnsi="Arial" w:cs="Arial"/>
          <w:b/>
          <w:bCs/>
          <w:sz w:val="28"/>
          <w:szCs w:val="28"/>
          <w:lang w:val="en-GB" w:eastAsia="fr-FR"/>
        </w:rPr>
      </w:pPr>
      <w:r w:rsidRPr="00DC312F">
        <w:rPr>
          <w:rFonts w:ascii="Arial" w:eastAsia="Times New Roman" w:hAnsi="Arial" w:cs="Arial"/>
          <w:b/>
          <w:bCs/>
          <w:sz w:val="28"/>
          <w:szCs w:val="28"/>
          <w:lang w:val="en-GB" w:eastAsia="fr-FR"/>
        </w:rPr>
        <w:t>Minister of Justice, Islamic Affairs and Waqf:</w:t>
      </w:r>
    </w:p>
    <w:p w14:paraId="30CCD5F1"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Having reviewed the Civil and Commercial Procedures Law promulgated by Legislative Decree No. (12) of 1971, as amended; </w:t>
      </w:r>
    </w:p>
    <w:p w14:paraId="3D3850BF"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Criminal Procedures Law promulgated by Legislative Decree No. (46) of 2002, as amended; </w:t>
      </w:r>
    </w:p>
    <w:p w14:paraId="347E9331"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Electronic Communications and Transactions Law promulgated by Legislative Decree No. (54) of 2018, as amended by Law No. (29) of 2021; </w:t>
      </w:r>
    </w:p>
    <w:p w14:paraId="76E1968A"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Decision No. (89) of 2018 regarding the Regulation of Notification by Electronic Means, as amended by Decision No. (122) of 2019; </w:t>
      </w:r>
    </w:p>
    <w:p w14:paraId="475920DF"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And the Decision No. (127) of 2019 regarding the Acceptance and Scope of Electronic Transactions; </w:t>
      </w:r>
    </w:p>
    <w:p w14:paraId="414EE4DA"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And after the approval of the Supreme Judicial Council, </w:t>
      </w:r>
    </w:p>
    <w:p w14:paraId="0AAE50DF"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And upon the submission of the Undersecretary for Justice and Islamic Affairs, </w:t>
      </w:r>
    </w:p>
    <w:p w14:paraId="5C612E09"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b/>
          <w:bCs/>
          <w:sz w:val="28"/>
          <w:szCs w:val="28"/>
          <w:lang w:val="en-GB" w:eastAsia="fr-FR"/>
        </w:rPr>
        <w:t>Hereby Decides: </w:t>
      </w:r>
    </w:p>
    <w:p w14:paraId="173003DC"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b/>
          <w:bCs/>
          <w:sz w:val="28"/>
          <w:szCs w:val="28"/>
          <w:lang w:val="en-GB" w:eastAsia="fr-FR"/>
        </w:rPr>
        <w:t>Article One </w:t>
      </w:r>
    </w:p>
    <w:p w14:paraId="2810DAAD"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A new Article No. (Seven bis) shall be added to Decision No. (89) of 2018 regarding the Regulation of Notification by Electronic Means, which reads as follows:  </w:t>
      </w:r>
    </w:p>
    <w:p w14:paraId="29A1EAD4"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b/>
          <w:bCs/>
          <w:sz w:val="28"/>
          <w:szCs w:val="28"/>
          <w:lang w:val="en-GB" w:eastAsia="fr-FR"/>
        </w:rPr>
        <w:t>Article Seven bis: </w:t>
      </w:r>
    </w:p>
    <w:p w14:paraId="43BA8189"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“The claimant, upon notification of the civil lawsuit filed for compensation for damage arising from a crime in respect of which a criminal order or a criminal judgement of conviction in absentia or via legal representation has been issued, may notify that order or criminal judgement to the person against whom it was issued or to the person responsible for civil rights, as the case may be, in accordance with the form prepared for this purpose after completing the information stipulated in clauses (3), or (4) or (5) of the second paragraph of Article Seven of this Decision, as the case may be, and a copy of the criminal order or judgement to be notified shall be attached to this form”. </w:t>
      </w:r>
    </w:p>
    <w:p w14:paraId="65083949"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b/>
          <w:bCs/>
          <w:sz w:val="28"/>
          <w:szCs w:val="28"/>
          <w:lang w:val="en-GB" w:eastAsia="fr-FR"/>
        </w:rPr>
        <w:t>Article Two </w:t>
      </w:r>
    </w:p>
    <w:p w14:paraId="078AA188"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The Undersecretary for Justice and Islamic Affairs shall implement the provisions of this Decision, and it shall come into force from the day following the date of its publication in the Official Gazette. </w:t>
      </w:r>
    </w:p>
    <w:p w14:paraId="6C63831E"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b/>
          <w:bCs/>
          <w:sz w:val="28"/>
          <w:szCs w:val="28"/>
          <w:lang w:val="en-GB" w:eastAsia="fr-FR"/>
        </w:rPr>
        <w:t>Minister of Justice, Islamic Affairs and Waqf </w:t>
      </w:r>
    </w:p>
    <w:p w14:paraId="40AA1640"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b/>
          <w:bCs/>
          <w:sz w:val="28"/>
          <w:szCs w:val="28"/>
          <w:lang w:val="en-GB" w:eastAsia="fr-FR"/>
        </w:rPr>
        <w:t>Nawaf bin Mohammed Al Maawda</w:t>
      </w:r>
    </w:p>
    <w:p w14:paraId="582474EF"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Issued on: 10 Shaaban 1444 A.H. </w:t>
      </w:r>
    </w:p>
    <w:p w14:paraId="09A6CCF2" w14:textId="77777777" w:rsidR="00DC312F" w:rsidRPr="00DC312F" w:rsidRDefault="00DC312F" w:rsidP="007955FA">
      <w:pPr>
        <w:spacing w:before="120" w:after="0" w:line="360" w:lineRule="auto"/>
        <w:rPr>
          <w:rFonts w:ascii="Arial" w:eastAsia="Times New Roman" w:hAnsi="Arial" w:cs="Arial"/>
          <w:sz w:val="28"/>
          <w:szCs w:val="28"/>
          <w:lang w:val="en-GB" w:eastAsia="fr-FR"/>
        </w:rPr>
      </w:pPr>
      <w:r w:rsidRPr="00DC312F">
        <w:rPr>
          <w:rFonts w:ascii="Arial" w:eastAsia="Times New Roman" w:hAnsi="Arial" w:cs="Arial"/>
          <w:sz w:val="28"/>
          <w:szCs w:val="28"/>
          <w:lang w:val="en-GB" w:eastAsia="fr-FR"/>
        </w:rPr>
        <w:t>Corresponding to: 2 March 2023 </w:t>
      </w:r>
    </w:p>
    <w:p w14:paraId="5F110467" w14:textId="77777777" w:rsidR="00DC312F" w:rsidRPr="00DC312F" w:rsidRDefault="00DC312F" w:rsidP="007955FA">
      <w:pPr>
        <w:spacing w:before="120" w:after="0" w:line="360" w:lineRule="auto"/>
        <w:jc w:val="right"/>
        <w:rPr>
          <w:rFonts w:ascii="Arial" w:hAnsi="Arial" w:cs="Arial"/>
          <w:sz w:val="28"/>
          <w:szCs w:val="28"/>
        </w:rPr>
      </w:pPr>
    </w:p>
    <w:sectPr w:rsidR="00DC312F" w:rsidRPr="00DC312F" w:rsidSect="006C1A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989A4" w14:textId="77777777" w:rsidR="00055888" w:rsidRDefault="00055888">
      <w:pPr>
        <w:spacing w:after="0" w:line="240" w:lineRule="auto"/>
      </w:pPr>
      <w:r>
        <w:separator/>
      </w:r>
    </w:p>
  </w:endnote>
  <w:endnote w:type="continuationSeparator" w:id="0">
    <w:p w14:paraId="42C441B3" w14:textId="77777777" w:rsidR="00055888" w:rsidRDefault="0005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26075" w14:textId="77777777" w:rsidR="00055888" w:rsidRDefault="00055888">
      <w:pPr>
        <w:spacing w:after="0" w:line="240" w:lineRule="auto"/>
      </w:pPr>
      <w:r>
        <w:separator/>
      </w:r>
    </w:p>
  </w:footnote>
  <w:footnote w:type="continuationSeparator" w:id="0">
    <w:p w14:paraId="64CCF763" w14:textId="77777777" w:rsidR="00055888" w:rsidRDefault="00055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B9"/>
    <w:rsid w:val="000129C5"/>
    <w:rsid w:val="00055888"/>
    <w:rsid w:val="002D62E1"/>
    <w:rsid w:val="004A431F"/>
    <w:rsid w:val="006C1A36"/>
    <w:rsid w:val="007955FA"/>
    <w:rsid w:val="00946FD6"/>
    <w:rsid w:val="00A33147"/>
    <w:rsid w:val="00BD6D1C"/>
    <w:rsid w:val="00D425C3"/>
    <w:rsid w:val="00D701B9"/>
    <w:rsid w:val="00DC31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9CD9D"/>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7C3A-5F11-415F-9D1D-CDBFEF9A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6</cp:revision>
  <dcterms:created xsi:type="dcterms:W3CDTF">2024-05-14T10:06:00Z</dcterms:created>
  <dcterms:modified xsi:type="dcterms:W3CDTF">2024-05-20T20:55:00Z</dcterms:modified>
</cp:coreProperties>
</file>