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FCA8" w14:textId="35D446BF" w:rsidR="00E065CE" w:rsidRDefault="00E065CE" w:rsidP="008E46B2">
      <w:pPr>
        <w:spacing w:after="0" w:line="440" w:lineRule="atLeast"/>
        <w:jc w:val="center"/>
        <w:rPr>
          <w:rFonts w:ascii="Arial" w:eastAsia="Times New Roman" w:hAnsi="Arial" w:cs="Arial"/>
          <w:b/>
          <w:bCs/>
          <w:color w:val="000000" w:themeColor="text1"/>
          <w:kern w:val="0"/>
          <w:sz w:val="28"/>
          <w:szCs w:val="28"/>
          <w:rtl/>
          <w:lang w:bidi="ar-BH"/>
          <w14:ligatures w14:val="none"/>
        </w:rPr>
      </w:pPr>
    </w:p>
    <w:p w14:paraId="040AE567" w14:textId="09E5AF2D" w:rsidR="008E46B2" w:rsidRPr="00E065CE" w:rsidRDefault="008E46B2" w:rsidP="008E46B2">
      <w:pPr>
        <w:spacing w:after="0" w:line="440" w:lineRule="atLeast"/>
        <w:jc w:val="center"/>
        <w:rPr>
          <w:rFonts w:ascii="Calibri" w:eastAsia="Times New Roman" w:hAnsi="Calibri" w:cs="Calibri"/>
          <w:color w:val="000000" w:themeColor="text1"/>
          <w:kern w:val="0"/>
          <w14:ligatures w14:val="none"/>
        </w:rPr>
      </w:pPr>
      <w:r w:rsidRPr="00E065CE">
        <w:rPr>
          <w:rFonts w:ascii="Arial" w:eastAsia="Times New Roman" w:hAnsi="Arial" w:cs="Arial"/>
          <w:b/>
          <w:bCs/>
          <w:color w:val="000000" w:themeColor="text1"/>
          <w:kern w:val="0"/>
          <w:sz w:val="28"/>
          <w:szCs w:val="28"/>
          <w:rtl/>
          <w:lang w:bidi="ar-BH"/>
          <w14:ligatures w14:val="none"/>
        </w:rPr>
        <w:t>مرسوم بقانون رقم (21) لسنة 2013</w:t>
      </w:r>
    </w:p>
    <w:p w14:paraId="310F41D6"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بشأن تنظيم جمع المال للأغراض العامة</w:t>
      </w:r>
    </w:p>
    <w:p w14:paraId="315D8908"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نحن حمد بن عيسى آل خليفة              ملك مملكة البحرين.</w:t>
      </w:r>
    </w:p>
    <w:p w14:paraId="6C5ECD06"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بعد الاطلاع على الدستور،</w:t>
      </w:r>
    </w:p>
    <w:p w14:paraId="0BEC4636"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وعلى قانون جمع التبرعات الخيرية لعام 1956،</w:t>
      </w:r>
    </w:p>
    <w:p w14:paraId="024E2FCE"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وعلى قانون العقوبات الصادر بالمرسوم بقانون رقم (15) لسنة 1976، وتعديلاته،</w:t>
      </w:r>
    </w:p>
    <w:p w14:paraId="0C8CAF6E"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وعلى قانون الجمعيات والأندية الاجتماعية والثقافية والهيئات الخاصة العاملة في ميدان الشباب والرياضة والمؤسسات الخاصة الصادر بالمرسوم بقانون رقم (21) لسنة 1989، وتعديلاته،</w:t>
      </w:r>
    </w:p>
    <w:p w14:paraId="0C32CE48"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وعلى المرسوم بقانون رقم (12) لسنة 1993 بإنشاء صندوق الزكاة،</w:t>
      </w:r>
    </w:p>
    <w:p w14:paraId="142056EC"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وعلى قانون ديوان الرقابة المالية والإدارية الصادر بالمرسوم بقانون رقم (16) لسنة 2002، المعدل بالمرسوم بقانون رقم (49) لسنة 2010،</w:t>
      </w:r>
    </w:p>
    <w:p w14:paraId="37B35DDA"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وبناءً على عرض رئيس مجلس الوزراء،</w:t>
      </w:r>
    </w:p>
    <w:p w14:paraId="77243707"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وبعد موافقة مجلس الوزراء،</w:t>
      </w:r>
    </w:p>
    <w:p w14:paraId="436008A5"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رسمنا بالقانون الآتي:</w:t>
      </w:r>
    </w:p>
    <w:p w14:paraId="56387A95"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w:t>
      </w:r>
    </w:p>
    <w:p w14:paraId="4FC37B66"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في تطبيق أحكام هذا القانون يكون للكلمات والعبارات التالية المعانيَ المبيَّنةَ قرينَ كل منها، ما لم يقتضِ سياق النص خلاف ذلك:</w:t>
      </w:r>
    </w:p>
    <w:p w14:paraId="1961C6A8"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الوزارة</w:t>
      </w:r>
      <w:r w:rsidRPr="00E065CE">
        <w:rPr>
          <w:rFonts w:ascii="Arial" w:eastAsia="Times New Roman" w:hAnsi="Arial" w:cs="Arial"/>
          <w:color w:val="000000" w:themeColor="text1"/>
          <w:kern w:val="0"/>
          <w:sz w:val="28"/>
          <w:szCs w:val="28"/>
          <w:rtl/>
          <w:lang w:bidi="ar-BH"/>
          <w14:ligatures w14:val="none"/>
        </w:rPr>
        <w:t>: الوزارة التي يصدر بتحديدها مرسوم.</w:t>
      </w:r>
    </w:p>
    <w:p w14:paraId="570EE343"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الوزير</w:t>
      </w:r>
      <w:r w:rsidRPr="00E065CE">
        <w:rPr>
          <w:rFonts w:ascii="Arial" w:eastAsia="Times New Roman" w:hAnsi="Arial" w:cs="Arial"/>
          <w:color w:val="000000" w:themeColor="text1"/>
          <w:kern w:val="0"/>
          <w:sz w:val="28"/>
          <w:szCs w:val="28"/>
          <w:rtl/>
          <w:lang w:bidi="ar-BH"/>
          <w14:ligatures w14:val="none"/>
        </w:rPr>
        <w:t>: الوزير الذي يصدر بتسميته مرسوم.</w:t>
      </w:r>
    </w:p>
    <w:p w14:paraId="71315F13"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الأغراض العامة</w:t>
      </w:r>
      <w:r w:rsidRPr="00E065CE">
        <w:rPr>
          <w:rFonts w:ascii="Arial" w:eastAsia="Times New Roman" w:hAnsi="Arial" w:cs="Arial"/>
          <w:color w:val="000000" w:themeColor="text1"/>
          <w:kern w:val="0"/>
          <w:sz w:val="28"/>
          <w:szCs w:val="28"/>
          <w:rtl/>
          <w:lang w:bidi="ar-BH"/>
          <w14:ligatures w14:val="none"/>
        </w:rPr>
        <w:t>: جميع أوجه النفع العام المشروعة سواء أكانت خيرية أو اجتماعية أو تعليمية أو ثقافية أو دينية.</w:t>
      </w:r>
    </w:p>
    <w:p w14:paraId="0E193EA9"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جمْع المال</w:t>
      </w:r>
      <w:r w:rsidRPr="00E065CE">
        <w:rPr>
          <w:rFonts w:ascii="Arial" w:eastAsia="Times New Roman" w:hAnsi="Arial" w:cs="Arial"/>
          <w:color w:val="000000" w:themeColor="text1"/>
          <w:kern w:val="0"/>
          <w:sz w:val="28"/>
          <w:szCs w:val="28"/>
          <w:rtl/>
          <w:lang w:bidi="ar-BH"/>
          <w14:ligatures w14:val="none"/>
        </w:rPr>
        <w:t>: كل نشاط يقوم به شخص طبيعي أو اعتباري يكون الغرض منه جمع الأموال أو قبول التبرعات النقدية أو العينية بأية وسيلة من وسائل جمْع المال وذلك من أي شخص طبيعي أو اعتباري داخل المملكة أو خارجها.</w:t>
      </w:r>
    </w:p>
    <w:p w14:paraId="79859C74" w14:textId="76B217A0"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المرخَّص له</w:t>
      </w:r>
      <w:r w:rsidRPr="00E065CE">
        <w:rPr>
          <w:rFonts w:ascii="Arial" w:eastAsia="Times New Roman" w:hAnsi="Arial" w:cs="Arial"/>
          <w:color w:val="000000" w:themeColor="text1"/>
          <w:kern w:val="0"/>
          <w:sz w:val="28"/>
          <w:szCs w:val="28"/>
          <w:rtl/>
          <w:lang w:bidi="ar-BH"/>
          <w14:ligatures w14:val="none"/>
        </w:rPr>
        <w:t>: كل شخص اعتباري تم منحه ترخيصاً بجمع المال أو تم إخطاره بموافقة الوزارة على تلقيه للتبرعات للأغراض العامة، أو كل شخص طبيعي تم منحه ترخيصاً بجمع المال للأغراض الدينية، وذلك كله وفقاً لأحكام هذا القانون.</w:t>
      </w:r>
      <w:r w:rsidRPr="00E065CE">
        <w:rPr>
          <w:rStyle w:val="FootnoteReference"/>
          <w:rFonts w:ascii="Calibri" w:eastAsia="Times New Roman" w:hAnsi="Calibri" w:cs="Calibri"/>
          <w:color w:val="000000" w:themeColor="text1"/>
          <w:kern w:val="0"/>
          <w:rtl/>
          <w14:ligatures w14:val="none"/>
        </w:rPr>
        <w:footnoteReference w:id="1"/>
      </w:r>
    </w:p>
    <w:p w14:paraId="56A9B56C" w14:textId="77777777" w:rsidR="008E46B2" w:rsidRPr="00E065CE" w:rsidRDefault="008E46B2" w:rsidP="008E46B2">
      <w:pPr>
        <w:spacing w:after="0" w:line="440" w:lineRule="atLeast"/>
        <w:jc w:val="center"/>
        <w:rPr>
          <w:rFonts w:ascii="Arial" w:eastAsia="Times New Roman" w:hAnsi="Arial" w:cs="Arial"/>
          <w:b/>
          <w:bCs/>
          <w:color w:val="000000" w:themeColor="text1"/>
          <w:kern w:val="0"/>
          <w:sz w:val="28"/>
          <w:szCs w:val="28"/>
          <w:rtl/>
          <w:lang w:bidi="ar-BH"/>
          <w14:ligatures w14:val="none"/>
        </w:rPr>
      </w:pPr>
    </w:p>
    <w:p w14:paraId="2897E11F" w14:textId="77777777" w:rsidR="008E46B2" w:rsidRPr="00E065CE" w:rsidRDefault="008E46B2" w:rsidP="008E46B2">
      <w:pPr>
        <w:spacing w:after="0" w:line="440" w:lineRule="atLeast"/>
        <w:jc w:val="center"/>
        <w:rPr>
          <w:rFonts w:ascii="Arial" w:eastAsia="Times New Roman" w:hAnsi="Arial" w:cs="Arial"/>
          <w:b/>
          <w:bCs/>
          <w:color w:val="000000" w:themeColor="text1"/>
          <w:kern w:val="0"/>
          <w:sz w:val="28"/>
          <w:szCs w:val="28"/>
          <w:rtl/>
          <w:lang w:bidi="ar-BH"/>
          <w14:ligatures w14:val="none"/>
        </w:rPr>
      </w:pPr>
    </w:p>
    <w:p w14:paraId="68074A19" w14:textId="77777777" w:rsidR="008E46B2" w:rsidRPr="00E065CE" w:rsidRDefault="008E46B2" w:rsidP="008E46B2">
      <w:pPr>
        <w:spacing w:after="0" w:line="440" w:lineRule="atLeast"/>
        <w:jc w:val="center"/>
        <w:rPr>
          <w:rFonts w:ascii="Arial" w:eastAsia="Times New Roman" w:hAnsi="Arial" w:cs="Arial"/>
          <w:b/>
          <w:bCs/>
          <w:color w:val="000000" w:themeColor="text1"/>
          <w:kern w:val="0"/>
          <w:sz w:val="28"/>
          <w:szCs w:val="28"/>
          <w:rtl/>
          <w:lang w:bidi="ar-BH"/>
          <w14:ligatures w14:val="none"/>
        </w:rPr>
      </w:pPr>
    </w:p>
    <w:p w14:paraId="2A8C1288" w14:textId="7AB29930"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(2)</w:t>
      </w:r>
      <w:r w:rsidRPr="00E065CE">
        <w:rPr>
          <w:rStyle w:val="FootnoteReference"/>
          <w:rFonts w:ascii="Calibri" w:eastAsia="Times New Roman" w:hAnsi="Calibri" w:cs="Calibri"/>
          <w:color w:val="000000" w:themeColor="text1"/>
          <w:kern w:val="0"/>
          <w:rtl/>
          <w14:ligatures w14:val="none"/>
        </w:rPr>
        <w:footnoteReference w:id="2"/>
      </w:r>
    </w:p>
    <w:p w14:paraId="3A70DD43" w14:textId="74B04D22" w:rsidR="008E46B2" w:rsidRPr="00E065CE" w:rsidRDefault="008E46B2" w:rsidP="008E46B2">
      <w:pPr>
        <w:spacing w:after="0" w:line="440" w:lineRule="atLeast"/>
        <w:jc w:val="highKashida"/>
        <w:rPr>
          <w:rFonts w:ascii="Arial" w:eastAsia="Times New Roman" w:hAnsi="Arial" w:cs="Arial"/>
          <w:color w:val="000000" w:themeColor="text1"/>
          <w:kern w:val="0"/>
          <w:sz w:val="28"/>
          <w:szCs w:val="28"/>
          <w:lang w:bidi="ar-BH"/>
          <w14:ligatures w14:val="none"/>
        </w:rPr>
      </w:pPr>
      <w:r w:rsidRPr="00E065CE">
        <w:rPr>
          <w:rFonts w:ascii="Arial" w:eastAsia="Times New Roman" w:hAnsi="Arial" w:cs="Arial"/>
          <w:color w:val="000000" w:themeColor="text1"/>
          <w:kern w:val="0"/>
          <w:sz w:val="28"/>
          <w:szCs w:val="28"/>
          <w:rtl/>
          <w:lang w:bidi="ar-BH"/>
          <w14:ligatures w14:val="none"/>
        </w:rPr>
        <w:t>يحظَر على الأشخاص الاعتبارية جمْع المال للأغراض العامة إلا بعد الحصول على ترخيص بذلك من الوزير ووفقاً لأحكام هذا القانون.</w:t>
      </w:r>
    </w:p>
    <w:p w14:paraId="1F498BF2" w14:textId="77777777" w:rsidR="008E46B2" w:rsidRPr="00E065CE" w:rsidRDefault="008E46B2" w:rsidP="008E46B2">
      <w:pPr>
        <w:spacing w:after="0" w:line="440" w:lineRule="atLeast"/>
        <w:jc w:val="highKashida"/>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كما يحظر على الأشخاص الطبيعيين جمع المال إلا إذا كان الغرض من الجمع دينياً.</w:t>
      </w:r>
    </w:p>
    <w:p w14:paraId="49AB1DDF" w14:textId="5AAFA493"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(3)</w:t>
      </w:r>
    </w:p>
    <w:p w14:paraId="44A5DA4A"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يقدَّم طلب الترخيص بجمْع المال إلى الوزارة طبقاً للنموذج المعد لهذا الغرض قبل بِدء الجمْع بشهرين على الأقل، وعلى أن يشتمل الطلب على طريقة الجمْع ومدته ومكانه والغرض منه.</w:t>
      </w:r>
    </w:p>
    <w:p w14:paraId="29B42067"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وللوزارة التجاوز عن المدة المحددة بالفقرة السابقة إذا اقتضت المصلحة العامة ذلك.</w:t>
      </w:r>
    </w:p>
    <w:p w14:paraId="7E4BC8E2"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وتحدِّد اللائحة التنفيذية لهذا القانون طرق جمْع المال ووسائل الجمْع وضوابطه ومدة الترخيص وعدد المرات التي يجوز الترخيص فيها لذات الشخص بجمع المال.</w:t>
      </w:r>
    </w:p>
    <w:p w14:paraId="3C669285"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(4)</w:t>
      </w:r>
    </w:p>
    <w:p w14:paraId="460FBB14"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يشترَط لمنح الترخيص للشخص الاعتباري أن يكون مسجلاً أو مرخصاً له طبقاً للنظام القانوني الخاضع له، وأن يتفق الغرض من جمْع المال مع الهدف الذي أنشىء من أجله هذا الشخص. وبالنسبة للشخص الطبيعي أن يكون بحرينياً كامل الأهلية حسن السيرة ولم تصدر ضده أحكام نهائية في جناية أو جنحة مخلة بالشرف أو الأمانة أو الآداب العامة.</w:t>
      </w:r>
    </w:p>
    <w:p w14:paraId="6488C209"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(5)</w:t>
      </w:r>
    </w:p>
    <w:p w14:paraId="6D88AFF4"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على الوزارة أن تبت في طلب الترخيص بجمع المال خلال ثلاثين يوماً من تاريخ تقديمه، وعليها قبل البت في الطلب أن تستطلع رأي الجهات الحكومية ذات الصلة بالغرض الذي يجمع من أجله المال.</w:t>
      </w:r>
    </w:p>
    <w:p w14:paraId="2FD317EE"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ويخطَر طالب الترخيص بقبول الطلب أو رفضه، كما تخطَر الجهات الحكومية المختصة. ويُعتبَر فوات المدة المشار إليها دون رد بمثابة رفْضٍ ضمني للطلب.</w:t>
      </w:r>
    </w:p>
    <w:p w14:paraId="5049DBB4"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(6)</w:t>
      </w:r>
    </w:p>
    <w:p w14:paraId="3C7E64DA"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يلتزم المرخَّص له بفتح حساب في أحد المصارف المعتمَدة من مصرف البحرين المركزي تودَع فيه المبالغ المحصَّلة، وأن يخطِر الوزارة برقم هذا الحساب.</w:t>
      </w:r>
    </w:p>
    <w:p w14:paraId="57EFDE94" w14:textId="3FB95100"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(7)</w:t>
      </w:r>
      <w:r w:rsidRPr="00E065CE">
        <w:rPr>
          <w:rStyle w:val="FootnoteReference"/>
          <w:rFonts w:ascii="Calibri" w:eastAsia="Times New Roman" w:hAnsi="Calibri" w:cs="Calibri"/>
          <w:color w:val="000000" w:themeColor="text1"/>
          <w:kern w:val="0"/>
          <w:rtl/>
          <w14:ligatures w14:val="none"/>
        </w:rPr>
        <w:footnoteReference w:id="3"/>
      </w:r>
    </w:p>
    <w:p w14:paraId="403E95A3" w14:textId="77777777" w:rsidR="008E46B2" w:rsidRPr="00E065CE" w:rsidRDefault="008E46B2" w:rsidP="008E46B2">
      <w:pPr>
        <w:spacing w:after="0" w:line="440" w:lineRule="atLeast"/>
        <w:jc w:val="highKashida"/>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lastRenderedPageBreak/>
        <w:t>يجب على كل شخص طبيعي أو اعتباري تلقَّى تبرعاً للأغراض العامة دون ترخيص، إبلاغ الوزارة بذلك خلال سبعة أيام عمل من تاريخ التلقي، موضحاً قيمة التبرع، والغرض منه، وبيانات المتبرع، وعلى الوزارة أن تخطر المتلقي خلال ثلاثين يوماً من تاريخ الإبلاغ بقرارها بقبول التبرع أو رفضه طبقاً لاتفاق الغرض من التبرع مع الأغراض العامة من عدمه. ويعتبَر فوات هذه المدة دون رد بمثابة رفْضٍ ضمني.</w:t>
      </w:r>
    </w:p>
    <w:p w14:paraId="525270AC" w14:textId="77777777" w:rsidR="008E46B2" w:rsidRPr="00E065CE" w:rsidRDefault="008E46B2" w:rsidP="008E46B2">
      <w:pPr>
        <w:spacing w:after="0" w:line="440" w:lineRule="atLeast"/>
        <w:jc w:val="highKashida"/>
        <w:rPr>
          <w:rFonts w:ascii="Arial" w:eastAsia="Times New Roman" w:hAnsi="Arial" w:cs="Arial"/>
          <w:b/>
          <w:bCs/>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وتحدد اللائحة التنفيذية ضوابط قبول التبرعات، وقواعد إنفاقها، والتقارير الواجب تقديمها بشأنها.</w:t>
      </w:r>
    </w:p>
    <w:p w14:paraId="31E5AFC8" w14:textId="4E594900"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(8)</w:t>
      </w:r>
    </w:p>
    <w:p w14:paraId="53955F80" w14:textId="77777777" w:rsidR="008E46B2" w:rsidRPr="00E065CE" w:rsidRDefault="008E46B2" w:rsidP="008E46B2">
      <w:pPr>
        <w:spacing w:after="0" w:line="440" w:lineRule="atLeast"/>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لا يجوز للمرخَّص له إنفاق المال في غير الغرض الذي جُمِع من أجله، وفي حالة الرغبة في تغيير هذا الغرض يجب الحصول على موافقة الوزارة، ويتحمل المرخَّص له المسئولية تجاه المتبرِّع إذا كان التبرُّع مشروطاً دون أدنى مسئولية في ذلك على الوزارة.</w:t>
      </w:r>
    </w:p>
    <w:p w14:paraId="031F2223" w14:textId="77777777" w:rsidR="00C8564B" w:rsidRPr="00E065CE" w:rsidRDefault="00C8564B" w:rsidP="008E46B2">
      <w:pPr>
        <w:spacing w:after="0" w:line="440" w:lineRule="atLeast"/>
        <w:rPr>
          <w:rFonts w:ascii="Arial" w:eastAsia="Times New Roman" w:hAnsi="Arial" w:cs="Arial"/>
          <w:color w:val="000000" w:themeColor="text1"/>
          <w:kern w:val="0"/>
          <w:sz w:val="28"/>
          <w:szCs w:val="28"/>
          <w:rtl/>
          <w:lang w:bidi="ar-BH"/>
          <w14:ligatures w14:val="none"/>
        </w:rPr>
      </w:pPr>
    </w:p>
    <w:p w14:paraId="6B6ABEDD" w14:textId="6120B6EA" w:rsidR="008E46B2" w:rsidRPr="00E065CE" w:rsidRDefault="008E46B2" w:rsidP="00C8564B">
      <w:pPr>
        <w:spacing w:after="0" w:line="276"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ويجب على المرخَّص له خلال ثلاثين يوماً من تاريخ انتهاء مدة الترخيص أو من تاريخ إخطاره بقبول التبرع، تقديم تقرير مفصل إلى الوزارة يتضمن حصيلة ما جُمع وأوجه الصرف، مدعوماً بالمستندات المؤيدة الدالة على صحتها. ويُقدَّم هذا التقرير سنوياً إذا زادت المدة المحددة لجمع المال على سنة.</w:t>
      </w:r>
      <w:r w:rsidRPr="00E065CE">
        <w:rPr>
          <w:rStyle w:val="FootnoteReference"/>
          <w:rFonts w:ascii="Arial" w:eastAsia="Times New Roman" w:hAnsi="Arial" w:cs="Arial"/>
          <w:color w:val="000000" w:themeColor="text1"/>
          <w:kern w:val="0"/>
          <w:sz w:val="28"/>
          <w:szCs w:val="28"/>
          <w:rtl/>
          <w:lang w:bidi="ar-BH"/>
          <w14:ligatures w14:val="none"/>
        </w:rPr>
        <w:footnoteReference w:id="4"/>
      </w:r>
    </w:p>
    <w:p w14:paraId="792913DA" w14:textId="5664BBEC" w:rsidR="008E46B2" w:rsidRPr="00E065CE" w:rsidRDefault="008E46B2" w:rsidP="00C8564B">
      <w:pPr>
        <w:spacing w:after="0" w:line="276" w:lineRule="auto"/>
        <w:jc w:val="both"/>
        <w:rPr>
          <w:rFonts w:ascii="Arial" w:eastAsia="Times New Roman" w:hAnsi="Arial" w:cs="Arial"/>
          <w:color w:val="000000" w:themeColor="text1"/>
          <w:kern w:val="0"/>
          <w:sz w:val="28"/>
          <w:szCs w:val="28"/>
          <w:lang w:bidi="ar-BH"/>
          <w14:ligatures w14:val="none"/>
        </w:rPr>
      </w:pPr>
      <w:r w:rsidRPr="00E065CE">
        <w:rPr>
          <w:rFonts w:ascii="Arial" w:eastAsia="Times New Roman" w:hAnsi="Arial" w:cs="Arial"/>
          <w:color w:val="000000" w:themeColor="text1"/>
          <w:kern w:val="0"/>
          <w:sz w:val="28"/>
          <w:szCs w:val="28"/>
          <w:rtl/>
          <w:lang w:bidi="ar-BH"/>
          <w14:ligatures w14:val="none"/>
        </w:rPr>
        <w:t>وتبين اللائحة التنفيذية أساليب وإجراءات التحقق من أوجه الصرف.</w:t>
      </w:r>
      <w:r w:rsidRPr="00E065CE">
        <w:rPr>
          <w:rStyle w:val="FootnoteReference"/>
          <w:rFonts w:ascii="Arial" w:eastAsia="Times New Roman" w:hAnsi="Arial" w:cs="Arial"/>
          <w:color w:val="000000" w:themeColor="text1"/>
          <w:kern w:val="0"/>
          <w:sz w:val="28"/>
          <w:szCs w:val="28"/>
          <w:lang w:bidi="ar-BH"/>
          <w14:ligatures w14:val="none"/>
        </w:rPr>
        <w:footnoteReference w:id="5"/>
      </w:r>
    </w:p>
    <w:p w14:paraId="43375EDC"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(9)</w:t>
      </w:r>
    </w:p>
    <w:p w14:paraId="3E3EF6DD"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لا يجوز للمرخَّص له تحويل أية مبالغ مالية مما تم جمْعُه إلى شخص أو جهة خارج المملكة إلا بموافقة الوزير ووفقاً للضوابط التي تحددها اللائحة التنفيذية.</w:t>
      </w:r>
    </w:p>
    <w:p w14:paraId="10915288"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ويُشترَط لقبول التبرعات من خارج المملكة أن يتضمن الترخيص الصادر السماح بذلك.</w:t>
      </w:r>
    </w:p>
    <w:p w14:paraId="3217E181"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(10)</w:t>
      </w:r>
    </w:p>
    <w:p w14:paraId="5932F13F"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لموظفي الوزارة الذين يصدر بتحديدهم قرار من الوزير المعني بشئون العدل بالاتفاق مع الوزير صفة الضبطية القضائية، وذلك فيما يتعلق بالجرائم التي تُرتكَب بالمخالفة لأحكام هذا القانون أو القرارات الصادرة تنفيذاً له.</w:t>
      </w:r>
    </w:p>
    <w:p w14:paraId="125DE07F"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ويكون لهؤلاء الموظفين سلطة التفتيش على الأموال التي تُجمع للأغراض العامة بموجب هذا القانون، وعلى سجلات الأشخاص الاعتبارية المرخَّص لها، وذلك للتأكد من مطابقتها لأحكام هذا القانون ولشروط الترخيص الصادر بجمع المال.</w:t>
      </w:r>
    </w:p>
    <w:p w14:paraId="3399ACD4" w14:textId="77777777" w:rsidR="008E46B2" w:rsidRPr="00E065CE" w:rsidRDefault="008E46B2" w:rsidP="008E46B2">
      <w:pPr>
        <w:spacing w:after="0" w:line="360" w:lineRule="auto"/>
        <w:jc w:val="center"/>
        <w:rPr>
          <w:rFonts w:asciiTheme="minorBidi" w:eastAsia="Aptos" w:hAnsiTheme="minorBidi"/>
          <w:b/>
          <w:bCs/>
          <w:color w:val="000000" w:themeColor="text1"/>
          <w:sz w:val="32"/>
          <w:szCs w:val="32"/>
          <w:rtl/>
        </w:rPr>
      </w:pPr>
    </w:p>
    <w:p w14:paraId="3F28ABAE" w14:textId="77777777" w:rsidR="008E46B2" w:rsidRPr="00E065CE" w:rsidRDefault="008E46B2" w:rsidP="008E46B2">
      <w:pPr>
        <w:spacing w:after="0" w:line="360" w:lineRule="auto"/>
        <w:jc w:val="center"/>
        <w:rPr>
          <w:rFonts w:ascii="Arial" w:eastAsia="Times New Roman" w:hAnsi="Arial" w:cs="Arial"/>
          <w:b/>
          <w:bCs/>
          <w:color w:val="000000" w:themeColor="text1"/>
          <w:kern w:val="0"/>
          <w:sz w:val="28"/>
          <w:szCs w:val="28"/>
          <w:rtl/>
          <w:lang w:bidi="ar-BH"/>
          <w14:ligatures w14:val="none"/>
        </w:rPr>
      </w:pPr>
    </w:p>
    <w:p w14:paraId="628E4018" w14:textId="164F1126" w:rsidR="008E46B2" w:rsidRPr="00E065CE" w:rsidRDefault="008E46B2" w:rsidP="008E46B2">
      <w:pPr>
        <w:spacing w:after="0" w:line="360" w:lineRule="auto"/>
        <w:jc w:val="center"/>
        <w:rPr>
          <w:rFonts w:ascii="Arial" w:eastAsia="Times New Roman" w:hAnsi="Arial" w:cs="Arial"/>
          <w:b/>
          <w:bCs/>
          <w:color w:val="000000" w:themeColor="text1"/>
          <w:kern w:val="0"/>
          <w:sz w:val="28"/>
          <w:szCs w:val="28"/>
          <w:rtl/>
          <w:lang w:bidi="ar-BH"/>
          <w14:ligatures w14:val="none"/>
        </w:rPr>
      </w:pPr>
      <w:r w:rsidRPr="00E065CE">
        <w:rPr>
          <w:rFonts w:ascii="Arial" w:eastAsia="Times New Roman" w:hAnsi="Arial" w:cs="Arial"/>
          <w:b/>
          <w:bCs/>
          <w:color w:val="000000" w:themeColor="text1"/>
          <w:kern w:val="0"/>
          <w:sz w:val="28"/>
          <w:szCs w:val="28"/>
          <w:rtl/>
          <w:lang w:bidi="ar-BH"/>
          <w14:ligatures w14:val="none"/>
        </w:rPr>
        <w:t>مادة (10) مكرراً</w:t>
      </w:r>
      <w:r w:rsidRPr="00E065CE">
        <w:rPr>
          <w:rStyle w:val="FootnoteReference"/>
          <w:rFonts w:ascii="Arial" w:eastAsia="Times New Roman" w:hAnsi="Arial" w:cs="Arial"/>
          <w:b/>
          <w:bCs/>
          <w:color w:val="000000" w:themeColor="text1"/>
          <w:kern w:val="0"/>
          <w:sz w:val="28"/>
          <w:szCs w:val="28"/>
          <w:rtl/>
          <w:lang w:bidi="ar-BH"/>
          <w14:ligatures w14:val="none"/>
        </w:rPr>
        <w:footnoteReference w:id="6"/>
      </w:r>
    </w:p>
    <w:p w14:paraId="3A9433A6" w14:textId="79BBF2B1"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تتولى الوزارة وفق النهج القائم على تحليل المخاطر، تقييم مخاطر المرخص لهم بجمع المال وتحديد طبيعة مخاطر تمويل الإرهاب التي قد تتعرض لها، وتتخذ التدابير اللازمة والمتناسبة مع درجة تلك المخاطر لمعالجتها وتعزيز الرقابة عليها، على أن يتم تحديث هذه التدابير كلما ورد تحديث في التقرير الوطني للمخاطر.</w:t>
      </w:r>
    </w:p>
    <w:p w14:paraId="367A1D1D"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(11)</w:t>
      </w:r>
    </w:p>
    <w:p w14:paraId="05BBA520"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يُحظَر على المرخَّص له مخالفة شروط الترخيص، وفي حالة المخالفة يجوز للوزارة أن تُصدِر قراراً بإلغاء الترخيص ووقْف عمليات جمْع المال وسحْب حصيلة الجمْع وإنفاقها في وجوه النفع العام التي تراها.</w:t>
      </w:r>
    </w:p>
    <w:p w14:paraId="0ABA69F6"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(12)</w:t>
      </w:r>
    </w:p>
    <w:p w14:paraId="2C7FB1B9"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تُعتبَر الأموال التي تُجمع وفقاً لأحكام هذا القانون في حكم المال العام في تطبيق أحكام قانون العقوبات، ويُعتبَر المرخَّص لهم من الأشخاص الطبيعية والقائمين على الأشخاص الاعتبارية في حكم الموظفين العموميين في تطبيق أحكام القانون المشار إليه.</w:t>
      </w:r>
    </w:p>
    <w:p w14:paraId="39D1D841"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ويتولى ديوان الرقابة المالية والإدارية بناءً على طلب الوزير مراجعة تلك الأموال، وعلى المرخَّص له تمكين الديوان من ذلك.</w:t>
      </w:r>
    </w:p>
    <w:p w14:paraId="42620B7B"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(13)</w:t>
      </w:r>
    </w:p>
    <w:p w14:paraId="465F4DAB"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يُستثنَى من تطبيق أحكام هذا القانون الجهات الحكومية والجهات المنشَأة أو التي تنشأ بقوانين أو مراسيم أو أوامر ملكية. ويجوز لمجلس الوزراء، أو الوزير المعني بهذه الجهات، بعد العرض على مجلس الوزراء، وضع ضوابط لجمْع المال للأغراض العامة، وذلك في تلك الجهات.</w:t>
      </w:r>
    </w:p>
    <w:p w14:paraId="513366BF" w14:textId="1E55DF9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(14)</w:t>
      </w:r>
      <w:r w:rsidRPr="00E065CE">
        <w:rPr>
          <w:rStyle w:val="FootnoteReference"/>
          <w:rFonts w:ascii="Calibri" w:eastAsia="Times New Roman" w:hAnsi="Calibri" w:cs="Calibri"/>
          <w:color w:val="000000" w:themeColor="text1"/>
          <w:kern w:val="0"/>
          <w:rtl/>
          <w14:ligatures w14:val="none"/>
        </w:rPr>
        <w:footnoteReference w:id="7"/>
      </w:r>
    </w:p>
    <w:p w14:paraId="0FAC5C0D"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يُعاقَب بالسجن المؤبد أو السجن الذي لا يقل عن عشر سنوات وبالغرامة التي لا تقل عن مائة ألف دينار ولا تجاوِز خمسمائة ألف دينار، كل مَن جمع أموالاً لغرض إرهابي.</w:t>
      </w:r>
    </w:p>
    <w:p w14:paraId="625424B4"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 xml:space="preserve">ويعاقَب بالحبس وبغرامة لا تتجاوز ألف دينار أو بإحدى هاتين العقوبتين كل مَن قام بجمْع أموالٍ للأغراض العامة دون الحصول على ترخيص وفقاً لأحكام هذا القانون، ويُعتبَر جمْع المال لغير الأغراض العامة المنصوص عليها في هذا القانون ظرفاً مشدَّداً. </w:t>
      </w:r>
    </w:p>
    <w:p w14:paraId="51110041"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lastRenderedPageBreak/>
        <w:t xml:space="preserve">ويُعاقب بالعقوبة المنصوص عليها في الفقرة السابقة كل من يخالف أحكام المادة (9) من هذا القانون. </w:t>
      </w:r>
    </w:p>
    <w:p w14:paraId="1443A8EA"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وفي جميع الأحوال تقضي المحكمة بمصادرة الأموال التي تم جمْعها أو أية أموال مساوية لها في القيمة تكون مملوكة لمرتكب الجريمة، وتؤول الأموال محل المصادرة لصالح الأعمال الخيرية التي تحددها الوزارة.</w:t>
      </w:r>
    </w:p>
    <w:p w14:paraId="749D4C02" w14:textId="45A923EF" w:rsidR="008E46B2" w:rsidRPr="00E065CE" w:rsidRDefault="008E46B2" w:rsidP="008E46B2">
      <w:pPr>
        <w:spacing w:after="0" w:line="360" w:lineRule="auto"/>
        <w:jc w:val="center"/>
        <w:rPr>
          <w:rFonts w:ascii="Arial" w:eastAsia="Times New Roman" w:hAnsi="Arial" w:cs="Arial"/>
          <w:b/>
          <w:bCs/>
          <w:color w:val="000000" w:themeColor="text1"/>
          <w:kern w:val="0"/>
          <w:sz w:val="28"/>
          <w:szCs w:val="28"/>
          <w:rtl/>
          <w:lang w:bidi="ar-BH"/>
          <w14:ligatures w14:val="none"/>
        </w:rPr>
      </w:pPr>
      <w:r w:rsidRPr="00E065CE">
        <w:rPr>
          <w:rFonts w:ascii="Arial" w:eastAsia="Times New Roman" w:hAnsi="Arial" w:cs="Arial"/>
          <w:b/>
          <w:bCs/>
          <w:color w:val="000000" w:themeColor="text1"/>
          <w:kern w:val="0"/>
          <w:sz w:val="28"/>
          <w:szCs w:val="28"/>
          <w:rtl/>
          <w:lang w:bidi="ar-BH"/>
          <w14:ligatures w14:val="none"/>
        </w:rPr>
        <w:t>مادة (14) مكرراً</w:t>
      </w:r>
      <w:r w:rsidRPr="00E065CE">
        <w:rPr>
          <w:rStyle w:val="FootnoteReference"/>
          <w:rFonts w:ascii="Arial" w:eastAsia="Times New Roman" w:hAnsi="Arial" w:cs="Arial"/>
          <w:b/>
          <w:bCs/>
          <w:color w:val="000000" w:themeColor="text1"/>
          <w:kern w:val="0"/>
          <w:sz w:val="28"/>
          <w:szCs w:val="28"/>
          <w:rtl/>
          <w:lang w:bidi="ar-BH"/>
          <w14:ligatures w14:val="none"/>
        </w:rPr>
        <w:footnoteReference w:id="8"/>
      </w:r>
    </w:p>
    <w:p w14:paraId="5179DA9E"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للوزارة فرض غرامة إدارية لا تجاوز عشرة آلاف دينار على كل من يخالف أحكام هذا القانون ولائحته التنفيذية والقرارات الصادرة تنفيذاً له.</w:t>
      </w:r>
    </w:p>
    <w:p w14:paraId="4AC4BCD5"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ويتعين عند توقيع الغرامة الإدارية مراعاة جسامة المخالفة، والعنت الذي بدا من المخالف، والمنافع التي جناها، والضرر الذي أصاب الغير نتيجةً لذلك.</w:t>
      </w:r>
    </w:p>
    <w:p w14:paraId="788D249F"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r w:rsidRPr="00E065CE">
        <w:rPr>
          <w:rFonts w:ascii="Arial" w:eastAsia="Times New Roman" w:hAnsi="Arial" w:cs="Arial"/>
          <w:color w:val="000000" w:themeColor="text1"/>
          <w:kern w:val="0"/>
          <w:sz w:val="28"/>
          <w:szCs w:val="28"/>
          <w:rtl/>
          <w:lang w:bidi="ar-BH"/>
          <w14:ligatures w14:val="none"/>
        </w:rPr>
        <w:t xml:space="preserve">ويصدر الوزير قراراً بتحديد المخالفات التي يترتب على ارتكابها غرامة إدارية، وقيمتها. </w:t>
      </w:r>
    </w:p>
    <w:p w14:paraId="430A1390" w14:textId="77777777" w:rsidR="008E46B2" w:rsidRPr="00E065CE" w:rsidRDefault="008E46B2" w:rsidP="008E46B2">
      <w:pPr>
        <w:spacing w:after="0" w:line="360" w:lineRule="auto"/>
        <w:jc w:val="both"/>
        <w:rPr>
          <w:rFonts w:ascii="Arial" w:eastAsia="Times New Roman" w:hAnsi="Arial" w:cs="Arial"/>
          <w:color w:val="000000" w:themeColor="text1"/>
          <w:kern w:val="0"/>
          <w:sz w:val="28"/>
          <w:szCs w:val="28"/>
          <w:rtl/>
          <w:lang w:bidi="ar-BH"/>
          <w14:ligatures w14:val="none"/>
        </w:rPr>
      </w:pPr>
    </w:p>
    <w:p w14:paraId="528450DE"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(15)</w:t>
      </w:r>
    </w:p>
    <w:p w14:paraId="391F32FC"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يُلغى قانون جمْع التبرعات الخيرية لعام 1956، كما يُلغى كل نص يخالف أحكام هذا القانون.</w:t>
      </w:r>
    </w:p>
    <w:p w14:paraId="7CF3BB52"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(16)</w:t>
      </w:r>
    </w:p>
    <w:p w14:paraId="2D662776"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تصدر اللائحة التنفيذية لهذا القانون بقرار من مجلس الوزراء.</w:t>
      </w:r>
    </w:p>
    <w:p w14:paraId="43049848"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مادة (17)</w:t>
      </w:r>
    </w:p>
    <w:p w14:paraId="2252E7C3"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على رئيس مجلس الوزراء والوزراء – كل فيما يخصه – تنفيذ هذا القانون، ويُعمل به من اليوم التالي لتاريخ نشره في الجريدة الرسمية.</w:t>
      </w:r>
    </w:p>
    <w:p w14:paraId="6191E301" w14:textId="77777777" w:rsidR="008E46B2" w:rsidRPr="00E065CE" w:rsidRDefault="008E46B2" w:rsidP="008E46B2">
      <w:pPr>
        <w:spacing w:after="0" w:line="440" w:lineRule="atLeast"/>
        <w:jc w:val="righ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ملك مملكة البحرين</w:t>
      </w:r>
    </w:p>
    <w:p w14:paraId="34BE7BEC" w14:textId="77777777" w:rsidR="008E46B2" w:rsidRPr="00E065CE" w:rsidRDefault="008E46B2" w:rsidP="008E46B2">
      <w:pPr>
        <w:spacing w:after="0" w:line="440" w:lineRule="atLeast"/>
        <w:jc w:val="right"/>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حمد بن عيسى آل خليفة</w:t>
      </w:r>
    </w:p>
    <w:p w14:paraId="0AA4EF6B"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رئيس مجلس الوزراء</w:t>
      </w:r>
    </w:p>
    <w:p w14:paraId="748197D0" w14:textId="77777777" w:rsidR="008E46B2" w:rsidRPr="00E065CE" w:rsidRDefault="008E46B2" w:rsidP="008E46B2">
      <w:pPr>
        <w:spacing w:after="0" w:line="440" w:lineRule="atLeast"/>
        <w:jc w:val="center"/>
        <w:rPr>
          <w:rFonts w:ascii="Calibri" w:eastAsia="Times New Roman" w:hAnsi="Calibri" w:cs="Calibri"/>
          <w:color w:val="000000" w:themeColor="text1"/>
          <w:kern w:val="0"/>
          <w:rtl/>
          <w14:ligatures w14:val="none"/>
        </w:rPr>
      </w:pPr>
      <w:r w:rsidRPr="00E065CE">
        <w:rPr>
          <w:rFonts w:ascii="Arial" w:eastAsia="Times New Roman" w:hAnsi="Arial" w:cs="Arial"/>
          <w:b/>
          <w:bCs/>
          <w:color w:val="000000" w:themeColor="text1"/>
          <w:kern w:val="0"/>
          <w:sz w:val="28"/>
          <w:szCs w:val="28"/>
          <w:rtl/>
          <w:lang w:bidi="ar-BH"/>
          <w14:ligatures w14:val="none"/>
        </w:rPr>
        <w:t>خليفة بن سلمان آل خليفة</w:t>
      </w:r>
    </w:p>
    <w:p w14:paraId="2AA9EC64"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صدر في قصر الرفاع:</w:t>
      </w:r>
    </w:p>
    <w:p w14:paraId="53DE8C79"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بتاريخ: 22 رمضان 1434هـ</w:t>
      </w:r>
    </w:p>
    <w:p w14:paraId="1BBFD720" w14:textId="77777777" w:rsidR="008E46B2" w:rsidRPr="00E065CE" w:rsidRDefault="008E46B2" w:rsidP="008E46B2">
      <w:pPr>
        <w:spacing w:after="0" w:line="440" w:lineRule="atLeast"/>
        <w:rPr>
          <w:rFonts w:ascii="Calibri" w:eastAsia="Times New Roman" w:hAnsi="Calibri" w:cs="Calibri"/>
          <w:color w:val="000000" w:themeColor="text1"/>
          <w:kern w:val="0"/>
          <w:rtl/>
          <w14:ligatures w14:val="none"/>
        </w:rPr>
      </w:pPr>
      <w:r w:rsidRPr="00E065CE">
        <w:rPr>
          <w:rFonts w:ascii="Arial" w:eastAsia="Times New Roman" w:hAnsi="Arial" w:cs="Arial"/>
          <w:color w:val="000000" w:themeColor="text1"/>
          <w:kern w:val="0"/>
          <w:sz w:val="28"/>
          <w:szCs w:val="28"/>
          <w:rtl/>
          <w:lang w:bidi="ar-BH"/>
          <w14:ligatures w14:val="none"/>
        </w:rPr>
        <w:t>الموافق: 31 يوليو 2013م</w:t>
      </w:r>
    </w:p>
    <w:p w14:paraId="6C6A454F" w14:textId="77777777" w:rsidR="009B27A2" w:rsidRPr="00E065CE" w:rsidRDefault="009B27A2">
      <w:pPr>
        <w:rPr>
          <w:color w:val="000000" w:themeColor="text1"/>
        </w:rPr>
      </w:pPr>
    </w:p>
    <w:sectPr w:rsidR="009B27A2" w:rsidRPr="00E065CE" w:rsidSect="008F23A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C614" w14:textId="77777777" w:rsidR="00DF2F23" w:rsidRDefault="00DF2F23" w:rsidP="008E46B2">
      <w:pPr>
        <w:spacing w:after="0" w:line="240" w:lineRule="auto"/>
      </w:pPr>
      <w:r>
        <w:separator/>
      </w:r>
    </w:p>
  </w:endnote>
  <w:endnote w:type="continuationSeparator" w:id="0">
    <w:p w14:paraId="7971797A" w14:textId="77777777" w:rsidR="00DF2F23" w:rsidRDefault="00DF2F23" w:rsidP="008E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7008" w14:textId="77777777" w:rsidR="00DF2F23" w:rsidRDefault="00DF2F23" w:rsidP="008E46B2">
      <w:pPr>
        <w:spacing w:after="0" w:line="240" w:lineRule="auto"/>
      </w:pPr>
      <w:r>
        <w:separator/>
      </w:r>
    </w:p>
  </w:footnote>
  <w:footnote w:type="continuationSeparator" w:id="0">
    <w:p w14:paraId="0D188E56" w14:textId="77777777" w:rsidR="00DF2F23" w:rsidRDefault="00DF2F23" w:rsidP="008E46B2">
      <w:pPr>
        <w:spacing w:after="0" w:line="240" w:lineRule="auto"/>
      </w:pPr>
      <w:r>
        <w:continuationSeparator/>
      </w:r>
    </w:p>
  </w:footnote>
  <w:footnote w:id="1">
    <w:p w14:paraId="29413DE0" w14:textId="44EFCA8F" w:rsidR="008E46B2" w:rsidRPr="00E065CE" w:rsidRDefault="008E46B2" w:rsidP="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 xml:space="preserve">استبدل التعريف بموجب </w:t>
      </w:r>
      <w:r w:rsidRPr="00E065CE">
        <w:rPr>
          <w:rFonts w:cs="Arial" w:hint="cs"/>
          <w:color w:val="000000" w:themeColor="text1"/>
          <w:rtl/>
        </w:rPr>
        <w:t>ال</w:t>
      </w:r>
      <w:r w:rsidRPr="00E065CE">
        <w:rPr>
          <w:rFonts w:cs="Arial"/>
          <w:color w:val="000000" w:themeColor="text1"/>
          <w:rtl/>
        </w:rPr>
        <w:t>مرسوم بقانون رقم (39) لسنة 2025</w:t>
      </w:r>
      <w:r w:rsidRPr="00E065CE">
        <w:rPr>
          <w:rFonts w:hint="cs"/>
          <w:color w:val="000000" w:themeColor="text1"/>
          <w:rtl/>
        </w:rPr>
        <w:t xml:space="preserve"> </w:t>
      </w:r>
      <w:r w:rsidRPr="00E065CE">
        <w:rPr>
          <w:rFonts w:cs="Arial"/>
          <w:color w:val="000000" w:themeColor="text1"/>
          <w:rtl/>
        </w:rPr>
        <w:t>بتعديل بعض أحكام المرسوم بقانون رقم (21) لسنة 2013</w:t>
      </w:r>
      <w:r w:rsidRPr="00E065CE">
        <w:rPr>
          <w:rFonts w:hint="cs"/>
          <w:color w:val="000000" w:themeColor="text1"/>
          <w:rtl/>
        </w:rPr>
        <w:t xml:space="preserve"> </w:t>
      </w:r>
      <w:r w:rsidRPr="00E065CE">
        <w:rPr>
          <w:rFonts w:cs="Arial"/>
          <w:color w:val="000000" w:themeColor="text1"/>
          <w:rtl/>
        </w:rPr>
        <w:t>بشأن تنظيم جمع المال للأغراض العامة</w:t>
      </w:r>
      <w:r w:rsidRPr="00E065CE">
        <w:rPr>
          <w:rFonts w:hint="cs"/>
          <w:color w:val="000000" w:themeColor="text1"/>
          <w:rtl/>
        </w:rPr>
        <w:t>.</w:t>
      </w:r>
    </w:p>
  </w:footnote>
  <w:footnote w:id="2">
    <w:p w14:paraId="30ABCD29" w14:textId="54668D26" w:rsidR="008E46B2" w:rsidRPr="00E065CE" w:rsidRDefault="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 xml:space="preserve">استبدلت بموجب </w:t>
      </w:r>
      <w:r w:rsidRPr="00E065CE">
        <w:rPr>
          <w:rFonts w:cs="Arial" w:hint="cs"/>
          <w:color w:val="000000" w:themeColor="text1"/>
          <w:rtl/>
        </w:rPr>
        <w:t>ال</w:t>
      </w:r>
      <w:r w:rsidRPr="00E065CE">
        <w:rPr>
          <w:rFonts w:cs="Arial"/>
          <w:color w:val="000000" w:themeColor="text1"/>
          <w:rtl/>
        </w:rPr>
        <w:t>مرسوم بقانون رقم (39) لسنة 2025</w:t>
      </w:r>
      <w:r w:rsidRPr="00E065CE">
        <w:rPr>
          <w:rFonts w:hint="cs"/>
          <w:color w:val="000000" w:themeColor="text1"/>
          <w:rtl/>
        </w:rPr>
        <w:t xml:space="preserve"> </w:t>
      </w:r>
      <w:r w:rsidRPr="00E065CE">
        <w:rPr>
          <w:rFonts w:cs="Arial"/>
          <w:color w:val="000000" w:themeColor="text1"/>
          <w:rtl/>
        </w:rPr>
        <w:t>بتعديل بعض أحكام المرسوم بقانون رقم (21) لسنة 2013</w:t>
      </w:r>
      <w:r w:rsidRPr="00E065CE">
        <w:rPr>
          <w:rFonts w:hint="cs"/>
          <w:color w:val="000000" w:themeColor="text1"/>
          <w:rtl/>
        </w:rPr>
        <w:t xml:space="preserve"> </w:t>
      </w:r>
      <w:r w:rsidRPr="00E065CE">
        <w:rPr>
          <w:rFonts w:cs="Arial"/>
          <w:color w:val="000000" w:themeColor="text1"/>
          <w:rtl/>
        </w:rPr>
        <w:t>بشأن تنظيم جمع المال للأغراض العامة</w:t>
      </w:r>
      <w:r w:rsidRPr="00E065CE">
        <w:rPr>
          <w:rFonts w:hint="cs"/>
          <w:color w:val="000000" w:themeColor="text1"/>
          <w:rtl/>
        </w:rPr>
        <w:t>.</w:t>
      </w:r>
    </w:p>
  </w:footnote>
  <w:footnote w:id="3">
    <w:p w14:paraId="436530A9" w14:textId="20C1CEB2" w:rsidR="008E46B2" w:rsidRPr="00E065CE" w:rsidRDefault="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 xml:space="preserve">استبدلت بموجب </w:t>
      </w:r>
      <w:r w:rsidRPr="00E065CE">
        <w:rPr>
          <w:rFonts w:cs="Arial" w:hint="cs"/>
          <w:color w:val="000000" w:themeColor="text1"/>
          <w:rtl/>
        </w:rPr>
        <w:t>ال</w:t>
      </w:r>
      <w:r w:rsidRPr="00E065CE">
        <w:rPr>
          <w:rFonts w:cs="Arial"/>
          <w:color w:val="000000" w:themeColor="text1"/>
          <w:rtl/>
        </w:rPr>
        <w:t>مرسوم بقانون رقم (39) لسنة 2025</w:t>
      </w:r>
      <w:r w:rsidRPr="00E065CE">
        <w:rPr>
          <w:rFonts w:hint="cs"/>
          <w:color w:val="000000" w:themeColor="text1"/>
          <w:rtl/>
        </w:rPr>
        <w:t xml:space="preserve"> </w:t>
      </w:r>
      <w:r w:rsidRPr="00E065CE">
        <w:rPr>
          <w:rFonts w:cs="Arial"/>
          <w:color w:val="000000" w:themeColor="text1"/>
          <w:rtl/>
        </w:rPr>
        <w:t>بتعديل بعض أحكام المرسوم بقانون رقم (21) لسنة 2013</w:t>
      </w:r>
      <w:r w:rsidRPr="00E065CE">
        <w:rPr>
          <w:rFonts w:hint="cs"/>
          <w:color w:val="000000" w:themeColor="text1"/>
          <w:rtl/>
        </w:rPr>
        <w:t xml:space="preserve"> </w:t>
      </w:r>
      <w:r w:rsidRPr="00E065CE">
        <w:rPr>
          <w:rFonts w:cs="Arial"/>
          <w:color w:val="000000" w:themeColor="text1"/>
          <w:rtl/>
        </w:rPr>
        <w:t>بشأن تنظيم جمع المال للأغراض العامة</w:t>
      </w:r>
      <w:r w:rsidRPr="00E065CE">
        <w:rPr>
          <w:rFonts w:hint="cs"/>
          <w:color w:val="000000" w:themeColor="text1"/>
          <w:rtl/>
        </w:rPr>
        <w:t>.</w:t>
      </w:r>
    </w:p>
  </w:footnote>
  <w:footnote w:id="4">
    <w:p w14:paraId="3F1625B2" w14:textId="1590C2D6" w:rsidR="008E46B2" w:rsidRPr="00E065CE" w:rsidRDefault="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 xml:space="preserve">استبدلت الفقرة بموجب </w:t>
      </w:r>
      <w:r w:rsidRPr="00E065CE">
        <w:rPr>
          <w:rFonts w:cs="Arial" w:hint="cs"/>
          <w:color w:val="000000" w:themeColor="text1"/>
          <w:rtl/>
        </w:rPr>
        <w:t>ال</w:t>
      </w:r>
      <w:r w:rsidRPr="00E065CE">
        <w:rPr>
          <w:rFonts w:cs="Arial"/>
          <w:color w:val="000000" w:themeColor="text1"/>
          <w:rtl/>
        </w:rPr>
        <w:t>مرسوم بقانون رقم (39) لسنة 2025</w:t>
      </w:r>
      <w:r w:rsidRPr="00E065CE">
        <w:rPr>
          <w:rFonts w:hint="cs"/>
          <w:color w:val="000000" w:themeColor="text1"/>
          <w:rtl/>
        </w:rPr>
        <w:t xml:space="preserve"> </w:t>
      </w:r>
      <w:r w:rsidRPr="00E065CE">
        <w:rPr>
          <w:rFonts w:cs="Arial"/>
          <w:color w:val="000000" w:themeColor="text1"/>
          <w:rtl/>
        </w:rPr>
        <w:t>بتعديل بعض أحكام المرسوم بقانون رقم (21) لسنة 2013</w:t>
      </w:r>
      <w:r w:rsidRPr="00E065CE">
        <w:rPr>
          <w:rFonts w:hint="cs"/>
          <w:color w:val="000000" w:themeColor="text1"/>
          <w:rtl/>
        </w:rPr>
        <w:t xml:space="preserve"> </w:t>
      </w:r>
      <w:r w:rsidRPr="00E065CE">
        <w:rPr>
          <w:rFonts w:cs="Arial"/>
          <w:color w:val="000000" w:themeColor="text1"/>
          <w:rtl/>
        </w:rPr>
        <w:t>بشأن تنظيم جمع المال للأغراض العامة</w:t>
      </w:r>
      <w:r w:rsidRPr="00E065CE">
        <w:rPr>
          <w:rFonts w:hint="cs"/>
          <w:color w:val="000000" w:themeColor="text1"/>
          <w:rtl/>
        </w:rPr>
        <w:t>.</w:t>
      </w:r>
    </w:p>
  </w:footnote>
  <w:footnote w:id="5">
    <w:p w14:paraId="718A20E0" w14:textId="66CBF416" w:rsidR="008E46B2" w:rsidRPr="00E065CE" w:rsidRDefault="00C8564B">
      <w:pPr>
        <w:pStyle w:val="FootnoteText"/>
        <w:rPr>
          <w:color w:val="000000" w:themeColor="text1"/>
          <w:rtl/>
        </w:rPr>
      </w:pPr>
      <w:r w:rsidRPr="00E065CE">
        <w:rPr>
          <w:rStyle w:val="FootnoteReference"/>
          <w:rFonts w:hint="cs"/>
          <w:color w:val="000000" w:themeColor="text1"/>
          <w:rtl/>
        </w:rPr>
        <w:t>5</w:t>
      </w:r>
      <w:r w:rsidR="008E46B2" w:rsidRPr="00E065CE">
        <w:rPr>
          <w:color w:val="000000" w:themeColor="text1"/>
          <w:rtl/>
        </w:rPr>
        <w:t xml:space="preserve"> </w:t>
      </w:r>
      <w:r w:rsidR="008E46B2" w:rsidRPr="00E065CE">
        <w:rPr>
          <w:rFonts w:hint="cs"/>
          <w:color w:val="000000" w:themeColor="text1"/>
          <w:rtl/>
        </w:rPr>
        <w:t xml:space="preserve">استبدلت الفقرة بموجب </w:t>
      </w:r>
      <w:r w:rsidR="008E46B2" w:rsidRPr="00E065CE">
        <w:rPr>
          <w:rFonts w:cs="Arial" w:hint="cs"/>
          <w:color w:val="000000" w:themeColor="text1"/>
          <w:rtl/>
        </w:rPr>
        <w:t>ال</w:t>
      </w:r>
      <w:r w:rsidR="008E46B2" w:rsidRPr="00E065CE">
        <w:rPr>
          <w:rFonts w:cs="Arial"/>
          <w:color w:val="000000" w:themeColor="text1"/>
          <w:rtl/>
        </w:rPr>
        <w:t>مرسوم بقانون رقم (39) لسنة 2025</w:t>
      </w:r>
      <w:r w:rsidR="008E46B2" w:rsidRPr="00E065CE">
        <w:rPr>
          <w:rFonts w:hint="cs"/>
          <w:color w:val="000000" w:themeColor="text1"/>
          <w:rtl/>
        </w:rPr>
        <w:t xml:space="preserve"> </w:t>
      </w:r>
      <w:r w:rsidR="008E46B2" w:rsidRPr="00E065CE">
        <w:rPr>
          <w:rFonts w:cs="Arial"/>
          <w:color w:val="000000" w:themeColor="text1"/>
          <w:rtl/>
        </w:rPr>
        <w:t>بتعديل بعض أحكام المرسوم بقانون رقم (21) لسنة 2013</w:t>
      </w:r>
      <w:r w:rsidR="008E46B2" w:rsidRPr="00E065CE">
        <w:rPr>
          <w:rFonts w:hint="cs"/>
          <w:color w:val="000000" w:themeColor="text1"/>
          <w:rtl/>
        </w:rPr>
        <w:t xml:space="preserve"> </w:t>
      </w:r>
      <w:r w:rsidR="008E46B2" w:rsidRPr="00E065CE">
        <w:rPr>
          <w:rFonts w:cs="Arial"/>
          <w:color w:val="000000" w:themeColor="text1"/>
          <w:rtl/>
        </w:rPr>
        <w:t>بشأن تنظيم جمع المال للأغراض العامة</w:t>
      </w:r>
      <w:r w:rsidR="008E46B2" w:rsidRPr="00E065CE">
        <w:rPr>
          <w:rFonts w:hint="cs"/>
          <w:color w:val="000000" w:themeColor="text1"/>
          <w:rtl/>
        </w:rPr>
        <w:t>.</w:t>
      </w:r>
    </w:p>
  </w:footnote>
  <w:footnote w:id="6">
    <w:p w14:paraId="72519799" w14:textId="28536AF1" w:rsidR="008E46B2" w:rsidRPr="00E065CE" w:rsidRDefault="008E46B2" w:rsidP="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أضيفت بموجب ال</w:t>
      </w:r>
      <w:r w:rsidRPr="00E065CE">
        <w:rPr>
          <w:color w:val="000000" w:themeColor="text1"/>
          <w:rtl/>
        </w:rPr>
        <w:t>مرسوم بقانون رقم (39) لسنة 2025</w:t>
      </w:r>
      <w:r w:rsidRPr="00E065CE">
        <w:rPr>
          <w:rFonts w:hint="cs"/>
          <w:color w:val="000000" w:themeColor="text1"/>
          <w:rtl/>
        </w:rPr>
        <w:t xml:space="preserve"> </w:t>
      </w:r>
      <w:r w:rsidRPr="00E065CE">
        <w:rPr>
          <w:color w:val="000000" w:themeColor="text1"/>
          <w:rtl/>
        </w:rPr>
        <w:t>بتعديل بعض أحكام المرسوم بقانون رقم (21) لسنة 2013</w:t>
      </w:r>
      <w:r w:rsidRPr="00E065CE">
        <w:rPr>
          <w:rFonts w:hint="cs"/>
          <w:color w:val="000000" w:themeColor="text1"/>
          <w:rtl/>
        </w:rPr>
        <w:t xml:space="preserve"> </w:t>
      </w:r>
      <w:r w:rsidRPr="00E065CE">
        <w:rPr>
          <w:color w:val="000000" w:themeColor="text1"/>
          <w:rtl/>
        </w:rPr>
        <w:t>بشأن تنظيم جمع المال للأغراض</w:t>
      </w:r>
      <w:r w:rsidRPr="00E065CE">
        <w:rPr>
          <w:rFonts w:cs="Arial"/>
          <w:color w:val="000000" w:themeColor="text1"/>
          <w:rtl/>
        </w:rPr>
        <w:t xml:space="preserve"> العامة</w:t>
      </w:r>
      <w:r w:rsidRPr="00E065CE">
        <w:rPr>
          <w:rFonts w:hint="cs"/>
          <w:color w:val="000000" w:themeColor="text1"/>
          <w:rtl/>
        </w:rPr>
        <w:t>.</w:t>
      </w:r>
    </w:p>
  </w:footnote>
  <w:footnote w:id="7">
    <w:p w14:paraId="5F6F59A7" w14:textId="30D73A56" w:rsidR="008E46B2" w:rsidRPr="00E065CE" w:rsidRDefault="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استبدلت بموجب ال</w:t>
      </w:r>
      <w:r w:rsidRPr="00E065CE">
        <w:rPr>
          <w:color w:val="000000" w:themeColor="text1"/>
          <w:rtl/>
        </w:rPr>
        <w:t>مرسوم بقانون رقم (39) لسنة 2025</w:t>
      </w:r>
      <w:r w:rsidRPr="00E065CE">
        <w:rPr>
          <w:rFonts w:hint="cs"/>
          <w:color w:val="000000" w:themeColor="text1"/>
          <w:rtl/>
        </w:rPr>
        <w:t xml:space="preserve"> </w:t>
      </w:r>
      <w:r w:rsidRPr="00E065CE">
        <w:rPr>
          <w:color w:val="000000" w:themeColor="text1"/>
          <w:rtl/>
        </w:rPr>
        <w:t>بتعديل بعض أحكام المرسوم بقانون رقم (21) لسنة 2013</w:t>
      </w:r>
      <w:r w:rsidRPr="00E065CE">
        <w:rPr>
          <w:rFonts w:hint="cs"/>
          <w:color w:val="000000" w:themeColor="text1"/>
          <w:rtl/>
        </w:rPr>
        <w:t xml:space="preserve"> </w:t>
      </w:r>
      <w:r w:rsidRPr="00E065CE">
        <w:rPr>
          <w:color w:val="000000" w:themeColor="text1"/>
          <w:rtl/>
        </w:rPr>
        <w:t>بشأن تنظيم جمع المال للأغراض</w:t>
      </w:r>
      <w:r w:rsidRPr="00E065CE">
        <w:rPr>
          <w:rFonts w:cs="Arial"/>
          <w:color w:val="000000" w:themeColor="text1"/>
          <w:rtl/>
        </w:rPr>
        <w:t xml:space="preserve"> العامة</w:t>
      </w:r>
      <w:r w:rsidRPr="00E065CE">
        <w:rPr>
          <w:rFonts w:hint="cs"/>
          <w:color w:val="000000" w:themeColor="text1"/>
          <w:rtl/>
        </w:rPr>
        <w:t>.</w:t>
      </w:r>
    </w:p>
  </w:footnote>
  <w:footnote w:id="8">
    <w:p w14:paraId="04D44FE9" w14:textId="5C5C0E09" w:rsidR="008E46B2" w:rsidRPr="00E065CE" w:rsidRDefault="008E46B2">
      <w:pPr>
        <w:pStyle w:val="FootnoteText"/>
        <w:rPr>
          <w:color w:val="000000" w:themeColor="text1"/>
          <w:rtl/>
        </w:rPr>
      </w:pPr>
      <w:r w:rsidRPr="00E065CE">
        <w:rPr>
          <w:rStyle w:val="FootnoteReference"/>
          <w:color w:val="000000" w:themeColor="text1"/>
        </w:rPr>
        <w:footnoteRef/>
      </w:r>
      <w:r w:rsidRPr="00E065CE">
        <w:rPr>
          <w:color w:val="000000" w:themeColor="text1"/>
          <w:rtl/>
        </w:rPr>
        <w:t xml:space="preserve"> </w:t>
      </w:r>
      <w:r w:rsidRPr="00E065CE">
        <w:rPr>
          <w:rFonts w:hint="cs"/>
          <w:color w:val="000000" w:themeColor="text1"/>
          <w:rtl/>
        </w:rPr>
        <w:t>أضيفت بموجب ال</w:t>
      </w:r>
      <w:r w:rsidRPr="00E065CE">
        <w:rPr>
          <w:color w:val="000000" w:themeColor="text1"/>
          <w:rtl/>
        </w:rPr>
        <w:t>مرسوم بقانون رقم (39) لسنة 2025</w:t>
      </w:r>
      <w:r w:rsidRPr="00E065CE">
        <w:rPr>
          <w:rFonts w:hint="cs"/>
          <w:color w:val="000000" w:themeColor="text1"/>
          <w:rtl/>
        </w:rPr>
        <w:t xml:space="preserve"> </w:t>
      </w:r>
      <w:r w:rsidRPr="00E065CE">
        <w:rPr>
          <w:color w:val="000000" w:themeColor="text1"/>
          <w:rtl/>
        </w:rPr>
        <w:t>بتعديل بعض أحكام المرسوم بقانون رقم (21) لسنة 2013</w:t>
      </w:r>
      <w:r w:rsidRPr="00E065CE">
        <w:rPr>
          <w:rFonts w:hint="cs"/>
          <w:color w:val="000000" w:themeColor="text1"/>
          <w:rtl/>
        </w:rPr>
        <w:t xml:space="preserve"> </w:t>
      </w:r>
      <w:r w:rsidRPr="00E065CE">
        <w:rPr>
          <w:color w:val="000000" w:themeColor="text1"/>
          <w:rtl/>
        </w:rPr>
        <w:t>بشأن تنظيم جمع المال للأغراض</w:t>
      </w:r>
      <w:r w:rsidRPr="00E065CE">
        <w:rPr>
          <w:rFonts w:cs="Arial"/>
          <w:color w:val="000000" w:themeColor="text1"/>
          <w:rtl/>
        </w:rPr>
        <w:t xml:space="preserve"> العامة</w:t>
      </w:r>
      <w:r w:rsidRPr="00E065CE">
        <w:rPr>
          <w:rFonts w:hint="cs"/>
          <w:color w:val="000000" w:themeColor="text1"/>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B2"/>
    <w:rsid w:val="00283105"/>
    <w:rsid w:val="004675F5"/>
    <w:rsid w:val="005F257F"/>
    <w:rsid w:val="008245C1"/>
    <w:rsid w:val="008E46B2"/>
    <w:rsid w:val="008F23AE"/>
    <w:rsid w:val="009B27A2"/>
    <w:rsid w:val="00A40B79"/>
    <w:rsid w:val="00B84436"/>
    <w:rsid w:val="00C8564B"/>
    <w:rsid w:val="00C951BE"/>
    <w:rsid w:val="00D27A8A"/>
    <w:rsid w:val="00DF2F23"/>
    <w:rsid w:val="00E065CE"/>
    <w:rsid w:val="00FD2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26A0"/>
  <w15:chartTrackingRefBased/>
  <w15:docId w15:val="{93FDF080-5249-45D7-AAA7-ED5796EE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E4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6B2"/>
    <w:rPr>
      <w:rFonts w:eastAsiaTheme="majorEastAsia" w:cstheme="majorBidi"/>
      <w:color w:val="272727" w:themeColor="text1" w:themeTint="D8"/>
    </w:rPr>
  </w:style>
  <w:style w:type="paragraph" w:styleId="Title">
    <w:name w:val="Title"/>
    <w:basedOn w:val="Normal"/>
    <w:next w:val="Normal"/>
    <w:link w:val="TitleChar"/>
    <w:uiPriority w:val="10"/>
    <w:qFormat/>
    <w:rsid w:val="008E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6B2"/>
    <w:pPr>
      <w:spacing w:before="160"/>
      <w:jc w:val="center"/>
    </w:pPr>
    <w:rPr>
      <w:i/>
      <w:iCs/>
      <w:color w:val="404040" w:themeColor="text1" w:themeTint="BF"/>
    </w:rPr>
  </w:style>
  <w:style w:type="character" w:customStyle="1" w:styleId="QuoteChar">
    <w:name w:val="Quote Char"/>
    <w:basedOn w:val="DefaultParagraphFont"/>
    <w:link w:val="Quote"/>
    <w:uiPriority w:val="29"/>
    <w:rsid w:val="008E46B2"/>
    <w:rPr>
      <w:i/>
      <w:iCs/>
      <w:color w:val="404040" w:themeColor="text1" w:themeTint="BF"/>
    </w:rPr>
  </w:style>
  <w:style w:type="paragraph" w:styleId="ListParagraph">
    <w:name w:val="List Paragraph"/>
    <w:basedOn w:val="Normal"/>
    <w:uiPriority w:val="34"/>
    <w:qFormat/>
    <w:rsid w:val="008E46B2"/>
    <w:pPr>
      <w:ind w:left="720"/>
      <w:contextualSpacing/>
    </w:pPr>
  </w:style>
  <w:style w:type="character" w:styleId="IntenseEmphasis">
    <w:name w:val="Intense Emphasis"/>
    <w:basedOn w:val="DefaultParagraphFont"/>
    <w:uiPriority w:val="21"/>
    <w:qFormat/>
    <w:rsid w:val="008E46B2"/>
    <w:rPr>
      <w:i/>
      <w:iCs/>
      <w:color w:val="2F5496" w:themeColor="accent1" w:themeShade="BF"/>
    </w:rPr>
  </w:style>
  <w:style w:type="paragraph" w:styleId="IntenseQuote">
    <w:name w:val="Intense Quote"/>
    <w:basedOn w:val="Normal"/>
    <w:next w:val="Normal"/>
    <w:link w:val="IntenseQuoteChar"/>
    <w:uiPriority w:val="30"/>
    <w:qFormat/>
    <w:rsid w:val="008E4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6B2"/>
    <w:rPr>
      <w:i/>
      <w:iCs/>
      <w:color w:val="2F5496" w:themeColor="accent1" w:themeShade="BF"/>
    </w:rPr>
  </w:style>
  <w:style w:type="character" w:styleId="IntenseReference">
    <w:name w:val="Intense Reference"/>
    <w:basedOn w:val="DefaultParagraphFont"/>
    <w:uiPriority w:val="32"/>
    <w:qFormat/>
    <w:rsid w:val="008E46B2"/>
    <w:rPr>
      <w:b/>
      <w:bCs/>
      <w:smallCaps/>
      <w:color w:val="2F5496" w:themeColor="accent1" w:themeShade="BF"/>
      <w:spacing w:val="5"/>
    </w:rPr>
  </w:style>
  <w:style w:type="paragraph" w:styleId="FootnoteText">
    <w:name w:val="footnote text"/>
    <w:basedOn w:val="Normal"/>
    <w:link w:val="FootnoteTextChar"/>
    <w:uiPriority w:val="99"/>
    <w:semiHidden/>
    <w:unhideWhenUsed/>
    <w:rsid w:val="008E46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6B2"/>
    <w:rPr>
      <w:sz w:val="20"/>
      <w:szCs w:val="20"/>
    </w:rPr>
  </w:style>
  <w:style w:type="character" w:styleId="FootnoteReference">
    <w:name w:val="footnote reference"/>
    <w:basedOn w:val="DefaultParagraphFont"/>
    <w:uiPriority w:val="99"/>
    <w:semiHidden/>
    <w:unhideWhenUsed/>
    <w:rsid w:val="008E4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حمد الرميثي</dc:creator>
  <cp:keywords/>
  <dc:description/>
  <cp:lastModifiedBy>فيصل فايز البلوشي</cp:lastModifiedBy>
  <cp:revision>5</cp:revision>
  <dcterms:created xsi:type="dcterms:W3CDTF">2025-09-18T09:01:00Z</dcterms:created>
  <dcterms:modified xsi:type="dcterms:W3CDTF">2025-09-21T08:03:00Z</dcterms:modified>
</cp:coreProperties>
</file>