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20FF6" w14:textId="77777777" w:rsidR="00AF7C12" w:rsidRPr="00AF7C12" w:rsidRDefault="00AF7C12" w:rsidP="00610E2D">
      <w:pPr>
        <w:spacing w:before="120" w:after="0" w:line="360" w:lineRule="auto"/>
        <w:rPr>
          <w:rFonts w:ascii="Arial" w:eastAsia="Times New Roman" w:hAnsi="Arial" w:cs="Arial"/>
          <w:b/>
          <w:bCs/>
          <w:sz w:val="28"/>
          <w:szCs w:val="28"/>
          <w:lang w:eastAsia="fr-FR"/>
        </w:rPr>
      </w:pPr>
      <w:r w:rsidRPr="00AF7C12">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30B209E" w14:textId="77777777" w:rsidR="00AF7C12" w:rsidRPr="00AF7C12" w:rsidRDefault="00AF7C12" w:rsidP="00610E2D">
      <w:pPr>
        <w:spacing w:before="120" w:after="0" w:line="360" w:lineRule="auto"/>
        <w:rPr>
          <w:rFonts w:ascii="Arial" w:eastAsia="Times New Roman" w:hAnsi="Arial" w:cs="Arial"/>
          <w:b/>
          <w:bCs/>
          <w:sz w:val="28"/>
          <w:szCs w:val="28"/>
          <w:lang w:eastAsia="fr-FR"/>
        </w:rPr>
      </w:pPr>
      <w:r w:rsidRPr="00AF7C12">
        <w:rPr>
          <w:rFonts w:ascii="Arial" w:eastAsia="Times New Roman" w:hAnsi="Arial" w:cs="Arial"/>
          <w:b/>
          <w:bCs/>
          <w:sz w:val="28"/>
          <w:szCs w:val="28"/>
          <w:lang w:eastAsia="fr-FR"/>
        </w:rPr>
        <w:t>For any corrections, remarks, or suggestions, kindly contact us on translate@lloc.gov.bh</w:t>
      </w:r>
    </w:p>
    <w:p w14:paraId="4CEF157B" w14:textId="77777777" w:rsidR="00AF7C12" w:rsidRPr="00AF7C12" w:rsidRDefault="00AF7C12" w:rsidP="00610E2D">
      <w:pPr>
        <w:spacing w:before="120" w:after="0" w:line="360" w:lineRule="auto"/>
        <w:rPr>
          <w:rFonts w:ascii="Arial" w:eastAsia="Times New Roman" w:hAnsi="Arial" w:cs="Arial"/>
          <w:b/>
          <w:bCs/>
          <w:sz w:val="28"/>
          <w:szCs w:val="28"/>
          <w:lang w:eastAsia="fr-FR"/>
        </w:rPr>
      </w:pPr>
      <w:r w:rsidRPr="00AF7C12">
        <w:rPr>
          <w:rFonts w:ascii="Arial" w:eastAsia="Times New Roman" w:hAnsi="Arial" w:cs="Arial"/>
          <w:b/>
          <w:bCs/>
          <w:sz w:val="28"/>
          <w:szCs w:val="28"/>
          <w:lang w:eastAsia="fr-FR"/>
        </w:rPr>
        <w:t>Published on the website on May 2024</w:t>
      </w:r>
      <w:r w:rsidRPr="00AF7C12">
        <w:rPr>
          <w:rFonts w:ascii="Arial" w:eastAsia="Times New Roman" w:hAnsi="Arial" w:cs="Arial"/>
          <w:b/>
          <w:bCs/>
          <w:sz w:val="28"/>
          <w:szCs w:val="28"/>
          <w:lang w:eastAsia="fr-FR"/>
        </w:rPr>
        <w:br w:type="page"/>
      </w:r>
    </w:p>
    <w:p w14:paraId="0B17DF7C" w14:textId="77777777" w:rsidR="00AF7C12" w:rsidRPr="00AF7C12" w:rsidRDefault="00AF7C12" w:rsidP="00610E2D">
      <w:pPr>
        <w:spacing w:before="120" w:after="0" w:line="360" w:lineRule="auto"/>
        <w:jc w:val="center"/>
        <w:rPr>
          <w:rFonts w:ascii="Arial" w:eastAsia="Times New Roman" w:hAnsi="Arial" w:cs="Arial"/>
          <w:sz w:val="28"/>
          <w:szCs w:val="28"/>
          <w:lang w:eastAsia="fr-FR"/>
        </w:rPr>
      </w:pPr>
      <w:r w:rsidRPr="00AF7C12">
        <w:rPr>
          <w:rFonts w:ascii="Arial" w:eastAsia="Times New Roman" w:hAnsi="Arial" w:cs="Arial"/>
          <w:b/>
          <w:bCs/>
          <w:sz w:val="28"/>
          <w:szCs w:val="28"/>
          <w:lang w:eastAsia="fr-FR"/>
        </w:rPr>
        <w:lastRenderedPageBreak/>
        <w:t>8 | Official Gazette</w:t>
      </w:r>
    </w:p>
    <w:p w14:paraId="2DE55CAF" w14:textId="77777777" w:rsidR="00AF7C12" w:rsidRPr="00AF7C12" w:rsidRDefault="00AF7C12" w:rsidP="00610E2D">
      <w:pPr>
        <w:spacing w:before="120" w:after="0" w:line="360" w:lineRule="auto"/>
        <w:jc w:val="center"/>
        <w:rPr>
          <w:rFonts w:ascii="Arial" w:eastAsia="Times New Roman" w:hAnsi="Arial" w:cs="Arial"/>
          <w:sz w:val="28"/>
          <w:szCs w:val="28"/>
          <w:lang w:eastAsia="fr-FR"/>
        </w:rPr>
      </w:pPr>
      <w:r w:rsidRPr="00AF7C12">
        <w:rPr>
          <w:rFonts w:ascii="Arial" w:eastAsia="Times New Roman" w:hAnsi="Arial" w:cs="Arial"/>
          <w:sz w:val="28"/>
          <w:szCs w:val="28"/>
          <w:lang w:eastAsia="fr-FR"/>
        </w:rPr>
        <w:t>Issue: 3508 - Thursday, 28 January 2021</w:t>
      </w:r>
    </w:p>
    <w:p w14:paraId="532167BC" w14:textId="77777777" w:rsidR="00AF7C12" w:rsidRPr="00AF7C12" w:rsidRDefault="00AF7C12" w:rsidP="00610E2D">
      <w:pPr>
        <w:spacing w:before="120" w:after="0" w:line="360" w:lineRule="auto"/>
        <w:jc w:val="center"/>
        <w:rPr>
          <w:rFonts w:ascii="Arial" w:eastAsia="Times New Roman" w:hAnsi="Arial" w:cs="Arial"/>
          <w:sz w:val="28"/>
          <w:szCs w:val="28"/>
          <w:lang w:eastAsia="fr-FR"/>
        </w:rPr>
      </w:pPr>
      <w:r w:rsidRPr="00AF7C12">
        <w:rPr>
          <w:rFonts w:ascii="Arial" w:eastAsia="Times New Roman" w:hAnsi="Arial" w:cs="Arial"/>
          <w:b/>
          <w:bCs/>
          <w:sz w:val="28"/>
          <w:szCs w:val="28"/>
          <w:lang w:eastAsia="fr-FR"/>
        </w:rPr>
        <w:t>Law No. (1) of 2021 Approving the Accession of the Kingdom of Bahrain to the Multilateral Convention of Competent Authorities for the Exchange of Reports between the Relevant Countries</w:t>
      </w:r>
    </w:p>
    <w:p w14:paraId="4395800C" w14:textId="77777777" w:rsidR="00AF7C12" w:rsidRPr="00AF7C12" w:rsidRDefault="00AF7C12" w:rsidP="00610E2D">
      <w:pPr>
        <w:spacing w:before="120" w:after="0" w:line="360" w:lineRule="auto"/>
        <w:rPr>
          <w:rFonts w:ascii="Arial" w:eastAsia="Times New Roman" w:hAnsi="Arial" w:cs="Arial"/>
          <w:b/>
          <w:bCs/>
          <w:sz w:val="28"/>
          <w:szCs w:val="28"/>
          <w:lang w:eastAsia="fr-FR"/>
        </w:rPr>
      </w:pPr>
      <w:r w:rsidRPr="00AF7C12">
        <w:rPr>
          <w:rFonts w:ascii="Arial" w:eastAsia="Times New Roman" w:hAnsi="Arial" w:cs="Arial"/>
          <w:b/>
          <w:bCs/>
          <w:sz w:val="28"/>
          <w:szCs w:val="28"/>
          <w:lang w:eastAsia="fr-FR"/>
        </w:rPr>
        <w:br w:type="page"/>
      </w:r>
    </w:p>
    <w:p w14:paraId="595E23A6"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b/>
          <w:bCs/>
          <w:sz w:val="28"/>
          <w:szCs w:val="28"/>
          <w:lang w:eastAsia="fr-FR"/>
        </w:rPr>
        <w:t>We, Hamad bin Isa Al Khalifa, King of the Kingdom of Bahrain. </w:t>
      </w:r>
    </w:p>
    <w:p w14:paraId="0B8A889A"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sz w:val="28"/>
          <w:szCs w:val="28"/>
          <w:lang w:eastAsia="fr-FR"/>
        </w:rPr>
        <w:t>Having reviewed the Constitution; </w:t>
      </w:r>
    </w:p>
    <w:p w14:paraId="5CA721A2"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sz w:val="28"/>
          <w:szCs w:val="28"/>
          <w:lang w:eastAsia="fr-FR"/>
        </w:rPr>
        <w:t>Commercial Companies Law promulgated by Legislative Decree No. (21) of 2001, as amended; The Central Bank of Bahrain and the Financial Institutions Law promulgated by Law No. (64) of 2006, as amended; </w:t>
      </w:r>
    </w:p>
    <w:p w14:paraId="12C22BB5"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sz w:val="28"/>
          <w:szCs w:val="28"/>
          <w:lang w:eastAsia="fr-FR"/>
        </w:rPr>
        <w:t>Legislative Decree No. (27) of 2015 regarding the Commercial Register, as amended by Legislative Decree No. (52) of 2018; </w:t>
      </w:r>
    </w:p>
    <w:p w14:paraId="3E1368CA"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sz w:val="28"/>
          <w:szCs w:val="28"/>
          <w:lang w:eastAsia="fr-FR"/>
        </w:rPr>
        <w:t>And Law No. (13) of 2018 Approving the Accession of the Kingdom of Bahrain to the Convention on Mutual Administrative Assistance in Tax Matters in Its Form Amended by the 2010 Protocol, and the Multilateral Convention of Competent Authorities for the Exchange of Reports between the Relevant Countries, signed in the city of Manama on 22 December 2019; </w:t>
      </w:r>
    </w:p>
    <w:p w14:paraId="09A7E367"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sz w:val="28"/>
          <w:szCs w:val="28"/>
          <w:lang w:eastAsia="fr-FR"/>
        </w:rPr>
        <w:t>The Shura Council and the Council of Representatives have approved the following Law, which we have ratified and enacted: </w:t>
      </w:r>
    </w:p>
    <w:p w14:paraId="08CBADFA"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b/>
          <w:bCs/>
          <w:sz w:val="28"/>
          <w:szCs w:val="28"/>
          <w:lang w:eastAsia="fr-FR"/>
        </w:rPr>
        <w:t>Article One </w:t>
      </w:r>
    </w:p>
    <w:p w14:paraId="08DE1535"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sz w:val="28"/>
          <w:szCs w:val="28"/>
          <w:lang w:eastAsia="fr-FR"/>
        </w:rPr>
        <w:t>The accession of the Kingdom of Bahrain to the Multilateral Convention of Competent Authorities for the Exchange of Reports between the Relevant Countries, signed in the city of Manama on 22 December 2019, attached to this Law, has been approved. </w:t>
      </w:r>
    </w:p>
    <w:p w14:paraId="4AE04D5F"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b/>
          <w:bCs/>
          <w:sz w:val="28"/>
          <w:szCs w:val="28"/>
          <w:lang w:eastAsia="fr-FR"/>
        </w:rPr>
        <w:t>Article Two </w:t>
      </w:r>
    </w:p>
    <w:p w14:paraId="1A051B6B"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50F98C8C"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b/>
          <w:bCs/>
          <w:sz w:val="28"/>
          <w:szCs w:val="28"/>
          <w:lang w:eastAsia="fr-FR"/>
        </w:rPr>
        <w:t>King of the Kingdom of Bahrain </w:t>
      </w:r>
    </w:p>
    <w:p w14:paraId="1091A4F0"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b/>
          <w:bCs/>
          <w:sz w:val="28"/>
          <w:szCs w:val="28"/>
          <w:lang w:eastAsia="fr-FR"/>
        </w:rPr>
        <w:t>Hamad bin Isa Al Khalifa </w:t>
      </w:r>
    </w:p>
    <w:p w14:paraId="3E714901"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sz w:val="28"/>
          <w:szCs w:val="28"/>
          <w:lang w:eastAsia="fr-FR"/>
        </w:rPr>
        <w:t>Issued at Riffa Palace: </w:t>
      </w:r>
    </w:p>
    <w:p w14:paraId="1B0A7F96"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sz w:val="28"/>
          <w:szCs w:val="28"/>
          <w:lang w:eastAsia="fr-FR"/>
        </w:rPr>
        <w:t>On 15 Jumada al-Akhir 1442 A.H. </w:t>
      </w:r>
    </w:p>
    <w:p w14:paraId="7CCD5742" w14:textId="77777777" w:rsidR="00AF7C12" w:rsidRPr="00AF7C12" w:rsidRDefault="00AF7C12" w:rsidP="00610E2D">
      <w:pPr>
        <w:spacing w:before="120" w:after="0" w:line="360" w:lineRule="auto"/>
        <w:rPr>
          <w:rFonts w:ascii="Arial" w:eastAsia="Times New Roman" w:hAnsi="Arial" w:cs="Arial"/>
          <w:sz w:val="28"/>
          <w:szCs w:val="28"/>
          <w:lang w:eastAsia="fr-FR"/>
        </w:rPr>
      </w:pPr>
      <w:r w:rsidRPr="00AF7C12">
        <w:rPr>
          <w:rFonts w:ascii="Arial" w:eastAsia="Times New Roman" w:hAnsi="Arial" w:cs="Arial"/>
          <w:sz w:val="28"/>
          <w:szCs w:val="28"/>
          <w:lang w:eastAsia="fr-FR"/>
        </w:rPr>
        <w:t>Corresponding to 28 January 2021 </w:t>
      </w:r>
    </w:p>
    <w:p w14:paraId="6C9980E6" w14:textId="77777777" w:rsidR="00AF7C12" w:rsidRPr="00AF7C12" w:rsidRDefault="00AF7C12" w:rsidP="00610E2D">
      <w:pPr>
        <w:spacing w:before="120" w:after="0" w:line="360" w:lineRule="auto"/>
        <w:rPr>
          <w:rFonts w:ascii="Arial" w:eastAsia="Times New Roman" w:hAnsi="Arial" w:cs="Arial"/>
          <w:b/>
          <w:bCs/>
          <w:sz w:val="28"/>
          <w:szCs w:val="28"/>
          <w:lang w:val="fr-FR" w:eastAsia="fr-FR"/>
        </w:rPr>
      </w:pPr>
    </w:p>
    <w:p w14:paraId="57F2F68F" w14:textId="77777777" w:rsidR="00AF7C12" w:rsidRPr="00AF7C12" w:rsidRDefault="00AF7C12" w:rsidP="00610E2D">
      <w:pPr>
        <w:spacing w:before="120" w:after="0" w:line="360" w:lineRule="auto"/>
        <w:rPr>
          <w:rFonts w:ascii="Arial" w:hAnsi="Arial" w:cs="Arial"/>
          <w:sz w:val="28"/>
          <w:szCs w:val="28"/>
        </w:rPr>
      </w:pPr>
    </w:p>
    <w:sectPr w:rsidR="00AF7C12" w:rsidRPr="00AF7C12" w:rsidSect="00876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12"/>
    <w:rsid w:val="000129C5"/>
    <w:rsid w:val="00610E2D"/>
    <w:rsid w:val="00815AD9"/>
    <w:rsid w:val="00876FF7"/>
    <w:rsid w:val="00AF7C12"/>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D21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