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B9E23" w14:textId="77777777" w:rsidR="00FC2C80" w:rsidRDefault="00FC2C80">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8AD9B10" w14:textId="77777777" w:rsidR="00FC2C80" w:rsidRDefault="00FC2C80">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45D00BF0" w14:textId="47229AB7" w:rsidR="00FC2C80" w:rsidRDefault="00FC2C80">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65852EB7" w14:textId="77777777" w:rsidR="00303FBA" w:rsidRPr="00303FBA" w:rsidRDefault="00303FBA" w:rsidP="000D62A2">
      <w:pPr>
        <w:spacing w:before="120" w:after="0" w:line="360" w:lineRule="auto"/>
        <w:rPr>
          <w:rFonts w:ascii="Arial" w:eastAsia="Times New Roman" w:hAnsi="Arial" w:cs="Arial"/>
          <w:sz w:val="28"/>
          <w:szCs w:val="28"/>
        </w:rPr>
      </w:pPr>
    </w:p>
    <w:p w14:paraId="5966CD8E" w14:textId="2792127E" w:rsidR="00303FBA" w:rsidRPr="00303FBA" w:rsidRDefault="00303FBA" w:rsidP="000D62A2">
      <w:pPr>
        <w:spacing w:before="120" w:after="0" w:line="360" w:lineRule="auto"/>
        <w:jc w:val="center"/>
        <w:rPr>
          <w:rFonts w:ascii="Arial" w:eastAsia="Times New Roman" w:hAnsi="Arial" w:cs="Arial"/>
          <w:sz w:val="28"/>
          <w:szCs w:val="28"/>
        </w:rPr>
      </w:pPr>
      <w:r w:rsidRPr="00303FBA">
        <w:rPr>
          <w:rFonts w:ascii="Arial" w:eastAsia="Times New Roman" w:hAnsi="Arial" w:cs="Arial"/>
          <w:b/>
          <w:bCs/>
          <w:sz w:val="28"/>
          <w:szCs w:val="28"/>
          <w:lang w:val="en-GB"/>
        </w:rPr>
        <w:t>Legislative Decree No. (3) of 1999</w:t>
      </w:r>
      <w:r w:rsidRPr="00303FBA">
        <w:rPr>
          <w:rFonts w:ascii="Arial" w:eastAsia="Times New Roman" w:hAnsi="Arial" w:cs="Arial"/>
          <w:b/>
          <w:bCs/>
          <w:sz w:val="28"/>
          <w:szCs w:val="28"/>
          <w:lang w:val="en-GB"/>
        </w:rPr>
        <w:br/>
        <w:t>amending some Provisions of The Civil and Commercial Procedures Law</w:t>
      </w:r>
      <w:r w:rsidRPr="00303FBA">
        <w:rPr>
          <w:rFonts w:ascii="Arial" w:eastAsia="Times New Roman" w:hAnsi="Arial" w:cs="Arial"/>
          <w:b/>
          <w:bCs/>
          <w:sz w:val="28"/>
          <w:szCs w:val="28"/>
          <w:lang w:val="en-GB"/>
        </w:rPr>
        <w:br/>
        <w:t xml:space="preserve">promulgated by Legislative Decree No. </w:t>
      </w:r>
      <w:r w:rsidRPr="00303FBA">
        <w:rPr>
          <w:rFonts w:ascii="Arial" w:eastAsia="Times New Roman" w:hAnsi="Arial" w:cs="Arial"/>
          <w:b/>
          <w:bCs/>
          <w:sz w:val="28"/>
          <w:szCs w:val="28"/>
        </w:rPr>
        <w:t>(12) of 1971</w:t>
      </w:r>
    </w:p>
    <w:p w14:paraId="57E8A97C"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We, Isa bin Salman Al Khalifa, Emir of the State of Bahrain, </w:t>
      </w:r>
    </w:p>
    <w:p w14:paraId="13BADF47"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sz w:val="28"/>
          <w:szCs w:val="28"/>
        </w:rPr>
        <w:t>Having reviewed the Constitution; </w:t>
      </w:r>
    </w:p>
    <w:p w14:paraId="0314697C"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sz w:val="28"/>
          <w:szCs w:val="28"/>
        </w:rPr>
        <w:t>Emiri Order No. (4) of 1975; </w:t>
      </w:r>
    </w:p>
    <w:p w14:paraId="411F607C"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And the Civil and Commercial Procedures Law promulgated by Legislative Decree No. (12) of 1971, and the laws that amend it; </w:t>
      </w:r>
    </w:p>
    <w:p w14:paraId="6BC555DB"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And upon the submission of the Minister of Justice and Islamic Affairs, </w:t>
      </w:r>
    </w:p>
    <w:p w14:paraId="0C7B971E"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And after the approval of the Council of Ministers; </w:t>
      </w:r>
    </w:p>
    <w:p w14:paraId="7C610461" w14:textId="77777777" w:rsidR="00303FBA" w:rsidRPr="00303FBA" w:rsidRDefault="00303FBA" w:rsidP="000D62A2">
      <w:pPr>
        <w:spacing w:before="120" w:after="0" w:line="360" w:lineRule="auto"/>
        <w:jc w:val="center"/>
        <w:rPr>
          <w:rFonts w:ascii="Arial" w:eastAsia="Times New Roman" w:hAnsi="Arial" w:cs="Arial"/>
          <w:sz w:val="28"/>
          <w:szCs w:val="28"/>
          <w:lang w:val="en-GB"/>
        </w:rPr>
      </w:pPr>
      <w:r w:rsidRPr="00303FBA">
        <w:rPr>
          <w:rFonts w:ascii="Arial" w:eastAsia="Times New Roman" w:hAnsi="Arial" w:cs="Arial"/>
          <w:b/>
          <w:bCs/>
          <w:sz w:val="28"/>
          <w:szCs w:val="28"/>
          <w:lang w:val="en-GB"/>
        </w:rPr>
        <w:t>Hereby Decree the following Law:</w:t>
      </w:r>
    </w:p>
    <w:p w14:paraId="30F1FD11" w14:textId="77777777" w:rsidR="00303FBA" w:rsidRPr="00303FBA" w:rsidRDefault="00303FBA" w:rsidP="000D62A2">
      <w:pPr>
        <w:spacing w:before="120" w:after="0" w:line="360" w:lineRule="auto"/>
        <w:jc w:val="center"/>
        <w:rPr>
          <w:rFonts w:ascii="Arial" w:eastAsia="Times New Roman" w:hAnsi="Arial" w:cs="Arial"/>
          <w:sz w:val="28"/>
          <w:szCs w:val="28"/>
        </w:rPr>
      </w:pPr>
      <w:r w:rsidRPr="00303FBA">
        <w:rPr>
          <w:rFonts w:ascii="Arial" w:eastAsia="Times New Roman" w:hAnsi="Arial" w:cs="Arial"/>
          <w:b/>
          <w:bCs/>
          <w:sz w:val="28"/>
          <w:szCs w:val="28"/>
        </w:rPr>
        <w:t>Article One</w:t>
      </w:r>
    </w:p>
    <w:p w14:paraId="4E864A85"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Added to the text of Article (8) of the Civil and Commercial Procedures Law promulgated by Legislative Decree No. (12) of 1971 clause No. (1) bis, which stipulates the following: </w:t>
      </w:r>
    </w:p>
    <w:p w14:paraId="10E5A5E3"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b/>
          <w:bCs/>
          <w:sz w:val="28"/>
          <w:szCs w:val="28"/>
        </w:rPr>
        <w:t>( 1 ) bis: </w:t>
      </w:r>
    </w:p>
    <w:p w14:paraId="5519B993"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Complaints arising from the employment relationship in accordance with the Labour Law for The Private Sector, regardless of its value, whether they are filed by the employee or the employer. </w:t>
      </w:r>
    </w:p>
    <w:p w14:paraId="56F11A83"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These judgments shall be appealed before the High Civil Court within ten days of its issuance or the convicted person is notified in accordance with the provisions of article (216). </w:t>
      </w:r>
    </w:p>
    <w:p w14:paraId="7A92F2D2" w14:textId="77777777" w:rsidR="00303FBA" w:rsidRPr="00303FBA" w:rsidRDefault="00303FBA" w:rsidP="000D62A2">
      <w:pPr>
        <w:spacing w:before="120" w:after="0" w:line="360" w:lineRule="auto"/>
        <w:jc w:val="center"/>
        <w:rPr>
          <w:rFonts w:ascii="Arial" w:eastAsia="Times New Roman" w:hAnsi="Arial" w:cs="Arial"/>
          <w:sz w:val="28"/>
          <w:szCs w:val="28"/>
        </w:rPr>
      </w:pPr>
      <w:r w:rsidRPr="00303FBA">
        <w:rPr>
          <w:rFonts w:ascii="Arial" w:eastAsia="Times New Roman" w:hAnsi="Arial" w:cs="Arial"/>
          <w:b/>
          <w:bCs/>
          <w:sz w:val="28"/>
          <w:szCs w:val="28"/>
        </w:rPr>
        <w:t>Article Two</w:t>
      </w:r>
    </w:p>
    <w:p w14:paraId="727A5D52"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Each high civil court shall, on its own initiative, transfer all the lawsuits that have arisen from the labour relationship in the private sector and that have become within the jurisdiction of the "lower court" in accordance with the provisions of paragraph (1) bis of article (8) of the law of Civil and Commercial Procedures, in accordance with its status, with notifying the litigants and summoning them to appear before the competent court to which the lawsuit has been referred. </w:t>
      </w:r>
    </w:p>
    <w:p w14:paraId="5B5AF684" w14:textId="77777777" w:rsidR="00303FBA" w:rsidRPr="00303FBA" w:rsidRDefault="00303FBA" w:rsidP="000D62A2">
      <w:pPr>
        <w:spacing w:before="120" w:after="0" w:line="360" w:lineRule="auto"/>
        <w:jc w:val="center"/>
        <w:rPr>
          <w:rFonts w:ascii="Arial" w:eastAsia="Times New Roman" w:hAnsi="Arial" w:cs="Arial"/>
          <w:sz w:val="28"/>
          <w:szCs w:val="28"/>
        </w:rPr>
      </w:pPr>
      <w:r w:rsidRPr="00303FBA">
        <w:rPr>
          <w:rFonts w:ascii="Arial" w:eastAsia="Times New Roman" w:hAnsi="Arial" w:cs="Arial"/>
          <w:b/>
          <w:bCs/>
          <w:sz w:val="28"/>
          <w:szCs w:val="28"/>
        </w:rPr>
        <w:t>Article Three</w:t>
      </w:r>
    </w:p>
    <w:p w14:paraId="4BB01D2A"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The High Civil Courts of Appeal continue to hear all cases brought before them arising out of the labour relationship in accordance with the Labour Law for The Private Sector, and decisions in such cases are subject to the appeal procedures and dates existing at the time the appeal is made. </w:t>
      </w:r>
    </w:p>
    <w:p w14:paraId="3E5BADB9" w14:textId="77777777" w:rsidR="00303FBA" w:rsidRPr="00303FBA" w:rsidRDefault="00303FBA" w:rsidP="000D62A2">
      <w:pPr>
        <w:spacing w:before="120" w:after="0" w:line="360" w:lineRule="auto"/>
        <w:jc w:val="center"/>
        <w:rPr>
          <w:rFonts w:ascii="Arial" w:eastAsia="Times New Roman" w:hAnsi="Arial" w:cs="Arial"/>
          <w:sz w:val="28"/>
          <w:szCs w:val="28"/>
        </w:rPr>
      </w:pPr>
      <w:r w:rsidRPr="00303FBA">
        <w:rPr>
          <w:rFonts w:ascii="Arial" w:eastAsia="Times New Roman" w:hAnsi="Arial" w:cs="Arial"/>
          <w:b/>
          <w:bCs/>
          <w:sz w:val="28"/>
          <w:szCs w:val="28"/>
        </w:rPr>
        <w:t>Article Four</w:t>
      </w:r>
    </w:p>
    <w:p w14:paraId="5E246766" w14:textId="77777777" w:rsidR="00303FBA" w:rsidRPr="00303FBA" w:rsidRDefault="00303FBA" w:rsidP="000D62A2">
      <w:pPr>
        <w:spacing w:before="120" w:after="0" w:line="360" w:lineRule="auto"/>
        <w:rPr>
          <w:rFonts w:ascii="Arial" w:eastAsia="Times New Roman" w:hAnsi="Arial" w:cs="Arial"/>
          <w:sz w:val="28"/>
          <w:szCs w:val="28"/>
          <w:lang w:val="en-GB"/>
        </w:rPr>
      </w:pPr>
      <w:r w:rsidRPr="00303FBA">
        <w:rPr>
          <w:rFonts w:ascii="Arial" w:eastAsia="Times New Roman" w:hAnsi="Arial" w:cs="Arial"/>
          <w:sz w:val="28"/>
          <w:szCs w:val="28"/>
          <w:lang w:val="en-GB"/>
        </w:rPr>
        <w:t>The Minister of Justice and Islamic Affairs shall implement this Law, and it shall come into force from the date of its publication in the Official Gazette. </w:t>
      </w:r>
    </w:p>
    <w:p w14:paraId="359FA20D" w14:textId="77777777" w:rsidR="00303FBA" w:rsidRPr="00303FBA" w:rsidRDefault="00303FBA" w:rsidP="000D62A2">
      <w:pPr>
        <w:spacing w:before="120" w:after="0" w:line="360" w:lineRule="auto"/>
        <w:jc w:val="right"/>
        <w:rPr>
          <w:rFonts w:ascii="Arial" w:eastAsia="Times New Roman" w:hAnsi="Arial" w:cs="Arial"/>
          <w:sz w:val="28"/>
          <w:szCs w:val="28"/>
          <w:lang w:val="en-GB"/>
        </w:rPr>
      </w:pPr>
      <w:r w:rsidRPr="00303FBA">
        <w:rPr>
          <w:rFonts w:ascii="Arial" w:eastAsia="Times New Roman" w:hAnsi="Arial" w:cs="Arial"/>
          <w:b/>
          <w:bCs/>
          <w:sz w:val="28"/>
          <w:szCs w:val="28"/>
          <w:lang w:val="en-GB"/>
        </w:rPr>
        <w:t>Emir of the State of Bahrain </w:t>
      </w:r>
    </w:p>
    <w:p w14:paraId="48189913" w14:textId="77777777" w:rsidR="00303FBA" w:rsidRPr="00303FBA" w:rsidRDefault="00303FBA" w:rsidP="000D62A2">
      <w:pPr>
        <w:spacing w:before="120" w:after="0" w:line="360" w:lineRule="auto"/>
        <w:jc w:val="right"/>
        <w:rPr>
          <w:rFonts w:ascii="Arial" w:eastAsia="Times New Roman" w:hAnsi="Arial" w:cs="Arial"/>
          <w:sz w:val="28"/>
          <w:szCs w:val="28"/>
          <w:lang w:val="en-GB"/>
        </w:rPr>
      </w:pPr>
      <w:r w:rsidRPr="00303FBA">
        <w:rPr>
          <w:rFonts w:ascii="Arial" w:eastAsia="Times New Roman" w:hAnsi="Arial" w:cs="Arial"/>
          <w:b/>
          <w:bCs/>
          <w:sz w:val="28"/>
          <w:szCs w:val="28"/>
          <w:lang w:val="en-GB"/>
        </w:rPr>
        <w:t>Isa bin Salman Al Khalifa </w:t>
      </w:r>
    </w:p>
    <w:p w14:paraId="72B54B43"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b/>
          <w:bCs/>
          <w:sz w:val="28"/>
          <w:szCs w:val="28"/>
        </w:rPr>
        <w:t>Issued at Riffa Palace: </w:t>
      </w:r>
    </w:p>
    <w:p w14:paraId="30152F9E"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b/>
          <w:bCs/>
          <w:sz w:val="28"/>
          <w:szCs w:val="28"/>
        </w:rPr>
        <w:t>On 19 Ramadan 1419 A.H. </w:t>
      </w:r>
    </w:p>
    <w:p w14:paraId="37D097FE" w14:textId="77777777" w:rsidR="00303FBA" w:rsidRPr="00303FBA" w:rsidRDefault="00303FBA" w:rsidP="000D62A2">
      <w:pPr>
        <w:spacing w:before="120" w:after="0" w:line="360" w:lineRule="auto"/>
        <w:rPr>
          <w:rFonts w:ascii="Arial" w:eastAsia="Times New Roman" w:hAnsi="Arial" w:cs="Arial"/>
          <w:sz w:val="28"/>
          <w:szCs w:val="28"/>
        </w:rPr>
      </w:pPr>
      <w:r w:rsidRPr="00303FBA">
        <w:rPr>
          <w:rFonts w:ascii="Arial" w:eastAsia="Times New Roman" w:hAnsi="Arial" w:cs="Arial"/>
          <w:b/>
          <w:bCs/>
          <w:sz w:val="28"/>
          <w:szCs w:val="28"/>
        </w:rPr>
        <w:t>Corresponding to: 6 January 1999 </w:t>
      </w:r>
    </w:p>
    <w:p w14:paraId="5863ABB6" w14:textId="77777777" w:rsidR="00303FBA" w:rsidRPr="00303FBA" w:rsidRDefault="00303FBA" w:rsidP="000D62A2">
      <w:pPr>
        <w:spacing w:before="120" w:after="0" w:line="360" w:lineRule="auto"/>
        <w:rPr>
          <w:rFonts w:ascii="Arial" w:eastAsia="Times New Roman" w:hAnsi="Arial" w:cs="Arial"/>
          <w:b/>
          <w:bCs/>
          <w:sz w:val="28"/>
          <w:szCs w:val="28"/>
        </w:rPr>
      </w:pPr>
    </w:p>
    <w:p w14:paraId="02BF470D" w14:textId="77777777" w:rsidR="00303FBA" w:rsidRPr="00303FBA" w:rsidRDefault="00303FBA" w:rsidP="000D62A2">
      <w:pPr>
        <w:spacing w:before="120" w:after="0" w:line="360" w:lineRule="auto"/>
        <w:rPr>
          <w:rFonts w:ascii="Arial" w:hAnsi="Arial" w:cs="Arial"/>
          <w:sz w:val="28"/>
          <w:szCs w:val="28"/>
        </w:rPr>
      </w:pPr>
    </w:p>
    <w:sectPr w:rsidR="00303FBA" w:rsidRPr="00303FBA" w:rsidSect="006B62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FEFC" w14:textId="77777777" w:rsidR="00721FB5" w:rsidRDefault="00721FB5">
      <w:pPr>
        <w:spacing w:after="0" w:line="240" w:lineRule="auto"/>
      </w:pPr>
      <w:r>
        <w:separator/>
      </w:r>
    </w:p>
  </w:endnote>
  <w:endnote w:type="continuationSeparator" w:id="0">
    <w:p w14:paraId="18D83890" w14:textId="77777777" w:rsidR="00721FB5" w:rsidRDefault="0072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57C3" w14:textId="77777777" w:rsidR="00721FB5" w:rsidRDefault="00721FB5">
      <w:pPr>
        <w:spacing w:after="0" w:line="240" w:lineRule="auto"/>
      </w:pPr>
      <w:r>
        <w:separator/>
      </w:r>
    </w:p>
  </w:footnote>
  <w:footnote w:type="continuationSeparator" w:id="0">
    <w:p w14:paraId="2D205E88" w14:textId="77777777" w:rsidR="00721FB5" w:rsidRDefault="00721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3F"/>
    <w:rsid w:val="000129C5"/>
    <w:rsid w:val="000D62A2"/>
    <w:rsid w:val="00303FBA"/>
    <w:rsid w:val="004A431F"/>
    <w:rsid w:val="004B4E3F"/>
    <w:rsid w:val="00521F4E"/>
    <w:rsid w:val="006647D3"/>
    <w:rsid w:val="006B6244"/>
    <w:rsid w:val="00721FB5"/>
    <w:rsid w:val="00815AD9"/>
    <w:rsid w:val="00A33147"/>
    <w:rsid w:val="00FC2C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1B55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6FDC-F5D8-42B9-AC74-BC2CDB7D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2024-05-14T09:20:00Z</dcterms:created>
  <dcterms:modified xsi:type="dcterms:W3CDTF">2024-05-20T20:31:00Z</dcterms:modified>
</cp:coreProperties>
</file>