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CAAA" w14:textId="77777777" w:rsidR="00E36333" w:rsidRPr="00E36333" w:rsidRDefault="00E36333" w:rsidP="00E36333">
      <w:pPr>
        <w:spacing w:line="360" w:lineRule="auto"/>
        <w:rPr>
          <w:rFonts w:ascii="Arial" w:hAnsi="Arial" w:cs="Arial"/>
          <w:b/>
          <w:bCs/>
          <w:sz w:val="28"/>
          <w:szCs w:val="28"/>
          <w:lang w:val="en-GB"/>
        </w:rPr>
      </w:pPr>
      <w:r w:rsidRPr="00E36333">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D6A1CC0" w14:textId="77777777" w:rsidR="00E36333" w:rsidRPr="00E36333" w:rsidRDefault="00E36333" w:rsidP="00E36333">
      <w:pPr>
        <w:spacing w:line="360" w:lineRule="auto"/>
        <w:rPr>
          <w:rFonts w:ascii="Arial" w:hAnsi="Arial" w:cs="Arial"/>
          <w:b/>
          <w:bCs/>
          <w:sz w:val="28"/>
          <w:szCs w:val="28"/>
          <w:lang w:val="en-GB"/>
        </w:rPr>
      </w:pPr>
      <w:r w:rsidRPr="00E36333">
        <w:rPr>
          <w:rFonts w:ascii="Arial" w:hAnsi="Arial" w:cs="Arial"/>
          <w:b/>
          <w:bCs/>
          <w:sz w:val="28"/>
          <w:szCs w:val="28"/>
          <w:lang w:val="en-GB"/>
        </w:rPr>
        <w:t>For any corrections, remarks, or suggestions, kindly contact us on translate@lloc.gov.bh</w:t>
      </w:r>
    </w:p>
    <w:p w14:paraId="32527F07" w14:textId="2ADDBB68" w:rsidR="00E36333" w:rsidRPr="00E36333" w:rsidRDefault="00E36333" w:rsidP="00E36333">
      <w:pPr>
        <w:spacing w:line="360" w:lineRule="auto"/>
        <w:rPr>
          <w:rFonts w:ascii="Arial" w:hAnsi="Arial" w:cs="Arial"/>
          <w:b/>
          <w:bCs/>
          <w:sz w:val="28"/>
          <w:szCs w:val="28"/>
          <w:lang w:val="en-GB"/>
        </w:rPr>
      </w:pPr>
      <w:r w:rsidRPr="00E36333">
        <w:rPr>
          <w:rFonts w:ascii="Arial" w:hAnsi="Arial" w:cs="Arial"/>
          <w:b/>
          <w:bCs/>
          <w:sz w:val="28"/>
          <w:szCs w:val="28"/>
          <w:lang w:val="en-GB"/>
        </w:rPr>
        <w:t>Published on the website on April 2025</w:t>
      </w:r>
      <w:r w:rsidRPr="00E36333">
        <w:rPr>
          <w:rFonts w:ascii="Arial" w:hAnsi="Arial" w:cs="Arial"/>
          <w:b/>
          <w:bCs/>
          <w:sz w:val="28"/>
          <w:szCs w:val="28"/>
          <w:lang w:val="en-GB"/>
        </w:rPr>
        <w:br w:type="page"/>
      </w:r>
    </w:p>
    <w:p w14:paraId="28478063" w14:textId="23168755" w:rsidR="0062448F" w:rsidRPr="00E36333" w:rsidRDefault="0062448F" w:rsidP="00E36333">
      <w:pPr>
        <w:spacing w:line="360" w:lineRule="auto"/>
        <w:jc w:val="center"/>
        <w:rPr>
          <w:rFonts w:ascii="Arial" w:hAnsi="Arial" w:cs="Arial"/>
          <w:b/>
          <w:bCs/>
          <w:sz w:val="28"/>
          <w:szCs w:val="28"/>
          <w:lang w:val="en-GB"/>
        </w:rPr>
      </w:pPr>
      <w:r w:rsidRPr="00E36333">
        <w:rPr>
          <w:rFonts w:ascii="Arial" w:hAnsi="Arial" w:cs="Arial"/>
          <w:b/>
          <w:bCs/>
          <w:sz w:val="28"/>
          <w:szCs w:val="28"/>
          <w:lang w:val="en-GB"/>
        </w:rPr>
        <w:lastRenderedPageBreak/>
        <w:t>Legislative Decree No. (12) of 2023</w:t>
      </w:r>
    </w:p>
    <w:p w14:paraId="758DB4E8" w14:textId="77777777" w:rsidR="0062448F" w:rsidRPr="00E36333" w:rsidRDefault="0062448F" w:rsidP="00E36333">
      <w:pPr>
        <w:spacing w:line="360" w:lineRule="auto"/>
        <w:jc w:val="center"/>
        <w:rPr>
          <w:rFonts w:ascii="Arial" w:hAnsi="Arial" w:cs="Arial"/>
          <w:b/>
          <w:bCs/>
          <w:sz w:val="28"/>
          <w:szCs w:val="28"/>
          <w:lang w:val="en-GB"/>
        </w:rPr>
      </w:pPr>
      <w:r w:rsidRPr="00E36333">
        <w:rPr>
          <w:rFonts w:ascii="Arial" w:hAnsi="Arial" w:cs="Arial"/>
          <w:b/>
          <w:bCs/>
          <w:sz w:val="28"/>
          <w:szCs w:val="28"/>
          <w:lang w:val="en-GB"/>
        </w:rPr>
        <w:t>Amending Article (4) of Law No. (38) of 2009</w:t>
      </w:r>
    </w:p>
    <w:p w14:paraId="48304A8E" w14:textId="48DA6D3E" w:rsidR="0062448F" w:rsidRPr="00E36333" w:rsidRDefault="0062448F" w:rsidP="00E36333">
      <w:pPr>
        <w:spacing w:line="360" w:lineRule="auto"/>
        <w:jc w:val="center"/>
        <w:rPr>
          <w:rFonts w:ascii="Arial" w:hAnsi="Arial" w:cs="Arial"/>
          <w:b/>
          <w:bCs/>
          <w:sz w:val="28"/>
          <w:szCs w:val="28"/>
          <w:lang w:val="en-GB"/>
        </w:rPr>
      </w:pPr>
      <w:r w:rsidRPr="00E36333">
        <w:rPr>
          <w:rFonts w:ascii="Arial" w:hAnsi="Arial" w:cs="Arial"/>
          <w:b/>
          <w:bCs/>
          <w:sz w:val="28"/>
          <w:szCs w:val="28"/>
          <w:lang w:val="en-GB"/>
        </w:rPr>
        <w:t>Establishing the National Health Regulatory Authority</w:t>
      </w:r>
    </w:p>
    <w:p w14:paraId="03C7125A" w14:textId="77777777" w:rsidR="0062448F" w:rsidRPr="00E36333" w:rsidRDefault="0062448F" w:rsidP="00E36333">
      <w:pPr>
        <w:spacing w:line="360" w:lineRule="auto"/>
        <w:jc w:val="center"/>
        <w:rPr>
          <w:rFonts w:ascii="Arial" w:hAnsi="Arial" w:cs="Arial"/>
          <w:b/>
          <w:bCs/>
          <w:sz w:val="28"/>
          <w:szCs w:val="28"/>
          <w:lang w:val="en-GB"/>
        </w:rPr>
      </w:pPr>
    </w:p>
    <w:p w14:paraId="7FA8FE2D" w14:textId="665BCB4B"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t>We, Hamad bin Isa Al Khalifa,                                                                                                  King of the Kingdom of Bahrain.</w:t>
      </w:r>
    </w:p>
    <w:p w14:paraId="112C0753"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Having reviewed the Constitution, in particular Article (38) thereof,</w:t>
      </w:r>
    </w:p>
    <w:p w14:paraId="6121C21C"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Law No. (15) of 2007 regarding Narcotic Drugs and Psychotropic Substances,</w:t>
      </w:r>
    </w:p>
    <w:p w14:paraId="67208689"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And Law No. (38) of 2009 Establishing the National Health Regulatory Authority, amended by Legislative Decree No. (32) of 2015,</w:t>
      </w:r>
    </w:p>
    <w:p w14:paraId="65D611DB"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And upon the submission of the Prime Minister,</w:t>
      </w:r>
    </w:p>
    <w:p w14:paraId="6077E176"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And after the approval of the Cabinet,</w:t>
      </w:r>
    </w:p>
    <w:p w14:paraId="72116313" w14:textId="77777777" w:rsidR="0062448F" w:rsidRPr="00E36333" w:rsidRDefault="0062448F" w:rsidP="00E36333">
      <w:pPr>
        <w:spacing w:line="360" w:lineRule="auto"/>
        <w:jc w:val="center"/>
        <w:rPr>
          <w:rFonts w:ascii="Arial" w:hAnsi="Arial" w:cs="Arial"/>
          <w:sz w:val="28"/>
          <w:szCs w:val="28"/>
          <w:lang w:val="en-GB"/>
        </w:rPr>
      </w:pPr>
      <w:r w:rsidRPr="00E36333">
        <w:rPr>
          <w:rFonts w:ascii="Arial" w:hAnsi="Arial" w:cs="Arial"/>
          <w:sz w:val="28"/>
          <w:szCs w:val="28"/>
          <w:lang w:val="en-GB"/>
        </w:rPr>
        <w:t>Hereby Decree the following Law:</w:t>
      </w:r>
    </w:p>
    <w:p w14:paraId="2012CFBB" w14:textId="77777777" w:rsidR="0062448F" w:rsidRPr="00E36333" w:rsidRDefault="0062448F" w:rsidP="00E36333">
      <w:pPr>
        <w:spacing w:line="360" w:lineRule="auto"/>
        <w:jc w:val="center"/>
        <w:rPr>
          <w:rFonts w:ascii="Arial" w:hAnsi="Arial" w:cs="Arial"/>
          <w:sz w:val="28"/>
          <w:szCs w:val="28"/>
          <w:lang w:val="en-GB"/>
        </w:rPr>
      </w:pPr>
      <w:r w:rsidRPr="00E36333">
        <w:rPr>
          <w:rFonts w:ascii="Arial" w:hAnsi="Arial" w:cs="Arial"/>
          <w:sz w:val="28"/>
          <w:szCs w:val="28"/>
          <w:lang w:val="en-GB"/>
        </w:rPr>
        <w:t>Article One</w:t>
      </w:r>
    </w:p>
    <w:p w14:paraId="0CB80E48"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The text of paragraph (a) of Article 4 of Law No. (38) of 2009 Establishing the National Health Regulatory Authority shall be replaced with the following text:</w:t>
      </w:r>
    </w:p>
    <w:p w14:paraId="0C088F5D"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"a. The Authority shall replace the Ministry in exercising its competencies as stipulated in each of the following:</w:t>
      </w:r>
    </w:p>
    <w:p w14:paraId="3F70A6E5"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lastRenderedPageBreak/>
        <w:t>1- Legislative Decree No. (2) of 1987 regarding the Practice of Non-Physicians and Pharmacists of Allied Medical Professions</w:t>
      </w:r>
    </w:p>
    <w:p w14:paraId="5FBF7D4D"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2- Legislative Decree No. (7) of 1989 regarding the Practice of the Human Medicine and Dentistry</w:t>
      </w:r>
    </w:p>
    <w:p w14:paraId="5036D235"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3- Legislative Decree No. (18) of 1997 regarding the Regulation of the Pharmacy Profession and Pharmaceutical Centres,</w:t>
      </w:r>
    </w:p>
    <w:p w14:paraId="622B0FEC"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4- Law No. (15) of 2007 regarding Narcotic Drugs and Psychotropic Substances</w:t>
      </w:r>
    </w:p>
    <w:p w14:paraId="290EB451"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The Supreme Council of Health shall replace the Minister in exercising their duties and competencies as stipulated in the aforementioned laws, provided that this does not conflict with the provisions of this Law."</w:t>
      </w:r>
    </w:p>
    <w:p w14:paraId="34284A43" w14:textId="77777777" w:rsidR="0062448F" w:rsidRPr="00E36333" w:rsidRDefault="0062448F" w:rsidP="00E36333">
      <w:pPr>
        <w:spacing w:line="360" w:lineRule="auto"/>
        <w:jc w:val="center"/>
        <w:rPr>
          <w:rFonts w:ascii="Arial" w:hAnsi="Arial" w:cs="Arial"/>
          <w:sz w:val="28"/>
          <w:szCs w:val="28"/>
          <w:lang w:val="en-GB"/>
        </w:rPr>
      </w:pPr>
      <w:r w:rsidRPr="00E36333">
        <w:rPr>
          <w:rFonts w:ascii="Arial" w:hAnsi="Arial" w:cs="Arial"/>
          <w:sz w:val="28"/>
          <w:szCs w:val="28"/>
          <w:lang w:val="en-GB"/>
        </w:rPr>
        <w:t>Article Two</w:t>
      </w:r>
    </w:p>
    <w:p w14:paraId="08B5C715" w14:textId="77777777" w:rsidR="0062448F" w:rsidRPr="00E36333" w:rsidRDefault="0062448F" w:rsidP="00E36333">
      <w:pPr>
        <w:spacing w:line="360" w:lineRule="auto"/>
        <w:jc w:val="both"/>
        <w:rPr>
          <w:rFonts w:ascii="Arial" w:hAnsi="Arial" w:cs="Arial"/>
          <w:sz w:val="28"/>
          <w:szCs w:val="28"/>
          <w:lang w:val="en-GB"/>
        </w:rPr>
      </w:pPr>
      <w:r w:rsidRPr="00E36333">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23619FA9" w14:textId="77777777" w:rsidR="0062448F" w:rsidRPr="00E36333" w:rsidRDefault="0062448F" w:rsidP="00E36333">
      <w:pPr>
        <w:spacing w:line="360" w:lineRule="auto"/>
        <w:jc w:val="both"/>
        <w:rPr>
          <w:rFonts w:ascii="Arial" w:hAnsi="Arial" w:cs="Arial"/>
          <w:sz w:val="28"/>
          <w:szCs w:val="28"/>
          <w:lang w:val="en-GB"/>
        </w:rPr>
      </w:pPr>
    </w:p>
    <w:p w14:paraId="40A322D5" w14:textId="77777777"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t>King of the Kingdom of Bahrain</w:t>
      </w:r>
    </w:p>
    <w:p w14:paraId="4D7C13AE" w14:textId="77777777"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t>Hamad bin Isa Al Khalifa</w:t>
      </w:r>
    </w:p>
    <w:p w14:paraId="2C0BCCEF" w14:textId="77777777"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t>Prime Minister</w:t>
      </w:r>
    </w:p>
    <w:p w14:paraId="5BC1B4AE" w14:textId="77777777"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t>Salman bin Hamad Al Khalifa</w:t>
      </w:r>
    </w:p>
    <w:p w14:paraId="313D5878" w14:textId="50E079FB"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t>Issued at Riffa Palace:</w:t>
      </w:r>
    </w:p>
    <w:p w14:paraId="22BDBC42" w14:textId="4EB47936"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lastRenderedPageBreak/>
        <w:t>On: 10 Rabi' al-Awwal 1445 AH</w:t>
      </w:r>
    </w:p>
    <w:p w14:paraId="6F52FED7" w14:textId="0EC28A03" w:rsidR="0062448F" w:rsidRPr="00E36333" w:rsidRDefault="0062448F" w:rsidP="0029119E">
      <w:pPr>
        <w:spacing w:line="360" w:lineRule="auto"/>
        <w:rPr>
          <w:rFonts w:ascii="Arial" w:hAnsi="Arial" w:cs="Arial"/>
          <w:sz w:val="28"/>
          <w:szCs w:val="28"/>
          <w:lang w:val="en-GB"/>
        </w:rPr>
      </w:pPr>
      <w:r w:rsidRPr="00E36333">
        <w:rPr>
          <w:rFonts w:ascii="Arial" w:hAnsi="Arial" w:cs="Arial"/>
          <w:sz w:val="28"/>
          <w:szCs w:val="28"/>
          <w:lang w:val="en-GB"/>
        </w:rPr>
        <w:t>Corresponding to: 25 September 2023</w:t>
      </w:r>
    </w:p>
    <w:p w14:paraId="6C133989" w14:textId="77777777" w:rsidR="00B80E7F" w:rsidRPr="00E36333" w:rsidRDefault="00B80E7F" w:rsidP="00E36333">
      <w:pPr>
        <w:spacing w:line="360" w:lineRule="auto"/>
        <w:rPr>
          <w:rFonts w:ascii="Arial" w:hAnsi="Arial" w:cs="Arial"/>
          <w:sz w:val="28"/>
          <w:szCs w:val="28"/>
        </w:rPr>
      </w:pPr>
    </w:p>
    <w:sectPr w:rsidR="00B80E7F" w:rsidRPr="00E36333" w:rsidSect="00E363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BA00E" w14:textId="77777777" w:rsidR="00607BE3" w:rsidRDefault="00607BE3" w:rsidP="00DF3A4F">
      <w:pPr>
        <w:spacing w:after="0" w:line="240" w:lineRule="auto"/>
      </w:pPr>
      <w:r>
        <w:separator/>
      </w:r>
    </w:p>
  </w:endnote>
  <w:endnote w:type="continuationSeparator" w:id="0">
    <w:p w14:paraId="06A7786F" w14:textId="77777777" w:rsidR="00607BE3" w:rsidRDefault="00607BE3" w:rsidP="00DF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5CBF" w14:textId="77777777" w:rsidR="00DF3A4F" w:rsidRDefault="00DF3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62D1" w14:textId="77777777" w:rsidR="00DF3A4F" w:rsidRDefault="00DF3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A1C1" w14:textId="77777777" w:rsidR="00DF3A4F" w:rsidRDefault="00DF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9DBC" w14:textId="77777777" w:rsidR="00607BE3" w:rsidRDefault="00607BE3" w:rsidP="00DF3A4F">
      <w:pPr>
        <w:spacing w:after="0" w:line="240" w:lineRule="auto"/>
      </w:pPr>
      <w:r>
        <w:separator/>
      </w:r>
    </w:p>
  </w:footnote>
  <w:footnote w:type="continuationSeparator" w:id="0">
    <w:p w14:paraId="5D50D74D" w14:textId="77777777" w:rsidR="00607BE3" w:rsidRDefault="00607BE3" w:rsidP="00DF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D018" w14:textId="77777777" w:rsidR="00DF3A4F" w:rsidRDefault="00DF3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3BF3" w14:textId="60D96D13" w:rsidR="00DF3A4F" w:rsidRDefault="00DF3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FBED" w14:textId="77777777" w:rsidR="00DF3A4F" w:rsidRDefault="00DF3A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8E"/>
    <w:rsid w:val="00121E3A"/>
    <w:rsid w:val="0029119E"/>
    <w:rsid w:val="00401F27"/>
    <w:rsid w:val="0043297E"/>
    <w:rsid w:val="004452FC"/>
    <w:rsid w:val="004564EC"/>
    <w:rsid w:val="004F76A1"/>
    <w:rsid w:val="00531D92"/>
    <w:rsid w:val="00607BE3"/>
    <w:rsid w:val="0062448F"/>
    <w:rsid w:val="00655A8E"/>
    <w:rsid w:val="00736BE2"/>
    <w:rsid w:val="00824F2A"/>
    <w:rsid w:val="008D35C7"/>
    <w:rsid w:val="00B80E7F"/>
    <w:rsid w:val="00BA398F"/>
    <w:rsid w:val="00CB5DD1"/>
    <w:rsid w:val="00D835C9"/>
    <w:rsid w:val="00DF3A4F"/>
    <w:rsid w:val="00E36333"/>
    <w:rsid w:val="00FE5EB8"/>
    <w:rsid w:val="5A30B7C3"/>
    <w:rsid w:val="5CF7D2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E078"/>
  <w15:docId w15:val="{9C7F7605-70D9-466C-9150-2A99BBA9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DF3A4F"/>
    <w:pPr>
      <w:spacing w:after="0" w:line="240" w:lineRule="auto"/>
    </w:pPr>
  </w:style>
  <w:style w:type="paragraph" w:styleId="Header">
    <w:name w:val="header"/>
    <w:basedOn w:val="Normal"/>
    <w:link w:val="HeaderChar"/>
    <w:uiPriority w:val="99"/>
    <w:unhideWhenUsed/>
    <w:rsid w:val="00DF3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4F"/>
  </w:style>
  <w:style w:type="paragraph" w:styleId="Footer">
    <w:name w:val="footer"/>
    <w:basedOn w:val="Normal"/>
    <w:link w:val="FooterChar"/>
    <w:uiPriority w:val="99"/>
    <w:unhideWhenUsed/>
    <w:rsid w:val="00DF3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7f465386-9fef-4441-8a79-c504f6e114f5_1" sourcehash="-2092959322" targethash="1507897382"/>
  <segment id="2180a08b-5b78-47ab-9450-f5958ef00a88_2" sourcehash="915653826" targethash="1984360557"/>
  <segment id="c83005e8-1834-42d7-a5c0-79e9276e3705_3" sourcehash="48039399" targethash="993493518"/>
  <segment id="65e61903-4a51-48f9-9b78-c87fefcb6a29_4" sourcehash="-206162836" targethash="253118947"/>
  <segment id="65d1bdc2-ad89-4e9c-8057-4a21d643e354_5" sourcehash="277261787" targethash="265675698"/>
  <segment id="2c1a09bb-9904-4612-8137-c3d6d5f3358e_6" sourcehash="891971298" targethash="891971298"/>
  <segment id="77ec0855-c19b-424a-80c5-6b3bd0e0533f_7" sourcehash="1025096314" targethash="1567474040"/>
  <segment id="5cd45da8-a40b-4ffd-8574-7b1cb2b68ab3_8" sourcehash="-235984429" targethash="-713810622"/>
  <segment id="33d499db-642a-4034-828e-09d6b3045376_9" sourcehash="8259799" targethash="-1980705785"/>
  <segment id="3918bec6-e698-4c72-8758-daa09809b70a_10" sourcehash="995883689" targethash="889458161"/>
  <segment id="099f0c91-1289-4f23-8999-31e628e655aa_11" sourcehash="-1524214830" targethash="-810051937"/>
  <segment id="c13273e9-9437-4e39-9b77-4bb61dd81cec_12" sourcehash="-277108728" targethash="-795539483"/>
  <segment id="fa810cdd-3d50-440d-abb1-073fdeeb34f2_13" sourcehash="-344951283" targethash="-1130027793"/>
  <segment id="4b2ac982-1ca3-450d-948b-19739999d4d6_14" sourcehash="1671145215" targethash="-982538983"/>
  <segment id="33337014-f3f1-496b-a211-1546d7c57111_15" sourcehash="576522818" targethash="48935927"/>
  <segment id="4ea95928-c90e-4dba-acbf-7e61ddc44b78_16" sourcehash="-246575123" targethash="1755896779"/>
  <segment id="3d6bc41e-41b1-4ce1-947c-4aaa7a04863a_17" sourcehash="-1464905609" targethash="2045662145"/>
  <segment id="d357bbc6-ca7e-49b6-a803-b4597a25fdbe_18" sourcehash="104169993" targethash="1640534006"/>
  <segment id="b404d729-829a-433d-a63a-a5f479bbb56f_19" sourcehash="-2007903193" targethash="1337060217"/>
  <segment id="3f5fccbf-88f6-4029-8d6d-5d805d66082b_20" sourcehash="-1215045800" targethash="-728057922"/>
  <segment id="a9b13b60-fffc-4211-bcea-f550d4af240b_21" sourcehash="508663189" targethash="-585183515"/>
  <segment id="a66ffbc1-781e-4269-aaba-9bbd03cafea3_22" sourcehash="241498303" targethash="50365609"/>
  <segment id="ef46aca0-0a5c-44b4-88bd-b867e89f4812_23" sourcehash="834634094" targethash="97264969"/>
  <segment id="b93f46d2-c445-436d-9410-f4ca778f460f_24" sourcehash="-1978873172" targethash="1372440991"/>
  <segment id="216630ba-932e-432a-959e-2a9747f08b08_25" sourcehash="800676074" targethash="-2064476392"/>
  <segment id="216630ba-932e-432a-959e-2a9747f08b08_26" sourcehash="-497277769" targethash="1568339422"/>
  <segment id="0192d474-4db5-4e22-a679-85b25492eab5_27" sourcehash="-661001485" targethash="-1931272714"/>
  <segment id="0192d474-4db5-4e22-a679-85b25492eab5_28" sourcehash="-1691587807" targethash="-138444559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6</cp:revision>
  <dcterms:created xsi:type="dcterms:W3CDTF">2025-03-15T19:59:00Z</dcterms:created>
  <dcterms:modified xsi:type="dcterms:W3CDTF">2025-05-08T07:06:00Z</dcterms:modified>
</cp:coreProperties>
</file>