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98306" w14:textId="77777777" w:rsidR="001E5D49" w:rsidRDefault="001E5D49">
      <w:pPr>
        <w:spacing w:after="0" w:line="240" w:lineRule="auto"/>
        <w:rPr>
          <w:rFonts w:ascii="Arial" w:eastAsia="Times New Roman" w:hAnsi="Arial" w:cs="Arial"/>
          <w:sz w:val="28"/>
          <w:szCs w:val="28"/>
          <w:lang w:val="en-US" w:bidi="ar-BH"/>
        </w:rPr>
      </w:pPr>
      <w:r>
        <w:rPr>
          <w:rFonts w:ascii="Arial" w:eastAsia="Times New Roman" w:hAnsi="Arial" w:cs="Arial"/>
          <w:sz w:val="28"/>
          <w:szCs w:val="28"/>
          <w:lang w:val="en-US" w:bidi="ar-BH"/>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F179ED6" w14:textId="77777777" w:rsidR="001E5D49" w:rsidRDefault="001E5D49">
      <w:pPr>
        <w:spacing w:after="0" w:line="240" w:lineRule="auto"/>
        <w:rPr>
          <w:rFonts w:ascii="Arial" w:eastAsia="Times New Roman" w:hAnsi="Arial" w:cs="Arial"/>
          <w:sz w:val="28"/>
          <w:szCs w:val="28"/>
          <w:lang w:val="en-US" w:bidi="ar-BH"/>
        </w:rPr>
      </w:pPr>
      <w:r>
        <w:rPr>
          <w:rFonts w:ascii="Arial" w:eastAsia="Times New Roman" w:hAnsi="Arial" w:cs="Arial"/>
          <w:sz w:val="28"/>
          <w:szCs w:val="28"/>
          <w:lang w:val="en-US" w:bidi="ar-BH"/>
        </w:rPr>
        <w:t>For any corrections, remarks, or suggestions, kindly contact us on translate@lloc.gov.bh</w:t>
      </w:r>
    </w:p>
    <w:p w14:paraId="072B59C5" w14:textId="583555C7" w:rsidR="001E5D49" w:rsidRDefault="001E5D49">
      <w:pPr>
        <w:spacing w:after="0" w:line="240" w:lineRule="auto"/>
        <w:rPr>
          <w:rFonts w:ascii="Arial" w:eastAsia="Times New Roman" w:hAnsi="Arial" w:cs="Arial"/>
          <w:sz w:val="28"/>
          <w:szCs w:val="28"/>
          <w:lang w:val="en-US" w:bidi="ar-BH"/>
        </w:rPr>
      </w:pPr>
      <w:r>
        <w:rPr>
          <w:rFonts w:ascii="Arial" w:eastAsia="Times New Roman" w:hAnsi="Arial" w:cs="Arial"/>
          <w:sz w:val="28"/>
          <w:szCs w:val="28"/>
          <w:lang w:val="en-US" w:bidi="ar-BH"/>
        </w:rPr>
        <w:t>Published on the website on May 2024</w:t>
      </w:r>
      <w:r>
        <w:rPr>
          <w:rFonts w:ascii="Arial" w:eastAsia="Times New Roman" w:hAnsi="Arial" w:cs="Arial"/>
          <w:sz w:val="28"/>
          <w:szCs w:val="28"/>
          <w:lang w:val="en-US" w:bidi="ar-BH"/>
        </w:rPr>
        <w:br w:type="page"/>
      </w:r>
    </w:p>
    <w:p w14:paraId="24A7115A" w14:textId="77777777" w:rsidR="004E37B8" w:rsidRPr="004E37B8" w:rsidRDefault="004E37B8" w:rsidP="002979BC">
      <w:pPr>
        <w:spacing w:before="120" w:after="0" w:line="360" w:lineRule="auto"/>
        <w:rPr>
          <w:rFonts w:ascii="Arial" w:eastAsia="Times New Roman" w:hAnsi="Arial" w:cs="Arial"/>
          <w:sz w:val="28"/>
          <w:szCs w:val="28"/>
          <w:lang w:val="en-US" w:bidi="ar-BH"/>
        </w:rPr>
      </w:pPr>
    </w:p>
    <w:p w14:paraId="251F8D98" w14:textId="76B65A2A" w:rsidR="004E37B8" w:rsidRPr="004E37B8" w:rsidRDefault="004E37B8" w:rsidP="002979BC">
      <w:pPr>
        <w:spacing w:before="120" w:after="0" w:line="360" w:lineRule="auto"/>
        <w:jc w:val="center"/>
        <w:rPr>
          <w:rFonts w:ascii="Arial" w:eastAsia="Times New Roman" w:hAnsi="Arial" w:cs="Arial"/>
          <w:sz w:val="28"/>
          <w:szCs w:val="28"/>
          <w:lang w:val="en-GB"/>
        </w:rPr>
      </w:pPr>
      <w:r w:rsidRPr="004E37B8">
        <w:rPr>
          <w:rFonts w:ascii="Arial" w:eastAsia="Times New Roman" w:hAnsi="Arial" w:cs="Arial"/>
          <w:b/>
          <w:bCs/>
          <w:sz w:val="28"/>
          <w:szCs w:val="28"/>
          <w:lang w:val="en-GB"/>
        </w:rPr>
        <w:t>Legislative Decree No. (15) of 1985</w:t>
      </w:r>
      <w:r w:rsidRPr="004E37B8">
        <w:rPr>
          <w:rFonts w:ascii="Arial" w:eastAsia="Times New Roman" w:hAnsi="Arial" w:cs="Arial"/>
          <w:b/>
          <w:bCs/>
          <w:sz w:val="28"/>
          <w:szCs w:val="28"/>
          <w:lang w:val="en-GB"/>
        </w:rPr>
        <w:br/>
        <w:t>regarding amending some Provisions of The Civil and Commercial Procedures law of 1971</w:t>
      </w:r>
    </w:p>
    <w:p w14:paraId="4687CE72" w14:textId="77777777" w:rsidR="004E37B8" w:rsidRPr="004E37B8" w:rsidRDefault="004E37B8" w:rsidP="002979BC">
      <w:pPr>
        <w:spacing w:before="120" w:after="0" w:line="360" w:lineRule="auto"/>
        <w:rPr>
          <w:rFonts w:ascii="Arial" w:eastAsia="Times New Roman" w:hAnsi="Arial" w:cs="Arial"/>
          <w:sz w:val="28"/>
          <w:szCs w:val="28"/>
          <w:lang w:val="en-GB"/>
        </w:rPr>
      </w:pPr>
      <w:r w:rsidRPr="004E37B8">
        <w:rPr>
          <w:rFonts w:ascii="Arial" w:eastAsia="Times New Roman" w:hAnsi="Arial" w:cs="Arial"/>
          <w:sz w:val="28"/>
          <w:szCs w:val="28"/>
          <w:lang w:val="en-GB"/>
        </w:rPr>
        <w:t>We, Isa bin Salman Al Khalifa, Emir of the State of Bahrain, </w:t>
      </w:r>
    </w:p>
    <w:p w14:paraId="6307B72A" w14:textId="77777777" w:rsidR="004E37B8" w:rsidRPr="004E37B8" w:rsidRDefault="004E37B8" w:rsidP="002979BC">
      <w:pPr>
        <w:spacing w:before="120" w:after="0" w:line="360" w:lineRule="auto"/>
        <w:rPr>
          <w:rFonts w:ascii="Arial" w:eastAsia="Times New Roman" w:hAnsi="Arial" w:cs="Arial"/>
          <w:sz w:val="28"/>
          <w:szCs w:val="28"/>
        </w:rPr>
      </w:pPr>
      <w:r w:rsidRPr="004E37B8">
        <w:rPr>
          <w:rFonts w:ascii="Arial" w:eastAsia="Times New Roman" w:hAnsi="Arial" w:cs="Arial"/>
          <w:sz w:val="28"/>
          <w:szCs w:val="28"/>
        </w:rPr>
        <w:t>Having reviewed the Constitution; </w:t>
      </w:r>
    </w:p>
    <w:p w14:paraId="3A0AB899" w14:textId="77777777" w:rsidR="004E37B8" w:rsidRPr="004E37B8" w:rsidRDefault="004E37B8" w:rsidP="002979BC">
      <w:pPr>
        <w:spacing w:before="120" w:after="0" w:line="360" w:lineRule="auto"/>
        <w:rPr>
          <w:rFonts w:ascii="Arial" w:eastAsia="Times New Roman" w:hAnsi="Arial" w:cs="Arial"/>
          <w:sz w:val="28"/>
          <w:szCs w:val="28"/>
        </w:rPr>
      </w:pPr>
      <w:r w:rsidRPr="004E37B8">
        <w:rPr>
          <w:rFonts w:ascii="Arial" w:eastAsia="Times New Roman" w:hAnsi="Arial" w:cs="Arial"/>
          <w:sz w:val="28"/>
          <w:szCs w:val="28"/>
        </w:rPr>
        <w:t>Emiri Order No. (4) of 1975; </w:t>
      </w:r>
    </w:p>
    <w:p w14:paraId="4858A677" w14:textId="77777777" w:rsidR="004E37B8" w:rsidRPr="004E37B8" w:rsidRDefault="004E37B8" w:rsidP="002979BC">
      <w:pPr>
        <w:spacing w:before="120" w:after="0" w:line="360" w:lineRule="auto"/>
        <w:rPr>
          <w:rFonts w:ascii="Arial" w:eastAsia="Times New Roman" w:hAnsi="Arial" w:cs="Arial"/>
          <w:sz w:val="28"/>
          <w:szCs w:val="28"/>
          <w:lang w:val="en-GB"/>
        </w:rPr>
      </w:pPr>
      <w:r w:rsidRPr="004E37B8">
        <w:rPr>
          <w:rFonts w:ascii="Arial" w:eastAsia="Times New Roman" w:hAnsi="Arial" w:cs="Arial"/>
          <w:sz w:val="28"/>
          <w:szCs w:val="28"/>
          <w:lang w:val="en-GB"/>
        </w:rPr>
        <w:t>And the Civil and Commercial Procedures Law of 1971 promulgating the Real Estate Registration Law; </w:t>
      </w:r>
    </w:p>
    <w:p w14:paraId="0BF6F7C1" w14:textId="77777777" w:rsidR="004E37B8" w:rsidRPr="004E37B8" w:rsidRDefault="004E37B8" w:rsidP="002979BC">
      <w:pPr>
        <w:spacing w:before="120" w:after="0" w:line="360" w:lineRule="auto"/>
        <w:rPr>
          <w:rFonts w:ascii="Arial" w:eastAsia="Times New Roman" w:hAnsi="Arial" w:cs="Arial"/>
          <w:sz w:val="28"/>
          <w:szCs w:val="28"/>
          <w:lang w:val="en-GB"/>
        </w:rPr>
      </w:pPr>
      <w:r w:rsidRPr="004E37B8">
        <w:rPr>
          <w:rFonts w:ascii="Arial" w:eastAsia="Times New Roman" w:hAnsi="Arial" w:cs="Arial"/>
          <w:sz w:val="28"/>
          <w:szCs w:val="28"/>
          <w:lang w:val="en-GB"/>
        </w:rPr>
        <w:t>And upon the submission of the Minister of Justice and Islamic Affairs, </w:t>
      </w:r>
    </w:p>
    <w:p w14:paraId="1C8B5665" w14:textId="77777777" w:rsidR="004E37B8" w:rsidRPr="004E37B8" w:rsidRDefault="004E37B8" w:rsidP="002979BC">
      <w:pPr>
        <w:spacing w:before="120" w:after="0" w:line="360" w:lineRule="auto"/>
        <w:rPr>
          <w:rFonts w:ascii="Arial" w:eastAsia="Times New Roman" w:hAnsi="Arial" w:cs="Arial"/>
          <w:sz w:val="28"/>
          <w:szCs w:val="28"/>
          <w:lang w:val="en-GB"/>
        </w:rPr>
      </w:pPr>
      <w:r w:rsidRPr="004E37B8">
        <w:rPr>
          <w:rFonts w:ascii="Arial" w:eastAsia="Times New Roman" w:hAnsi="Arial" w:cs="Arial"/>
          <w:sz w:val="28"/>
          <w:szCs w:val="28"/>
          <w:lang w:val="en-GB"/>
        </w:rPr>
        <w:t>And after the approval of the Council of Ministers; </w:t>
      </w:r>
    </w:p>
    <w:p w14:paraId="287E2BC5" w14:textId="77777777" w:rsidR="004E37B8" w:rsidRPr="004E37B8" w:rsidRDefault="004E37B8" w:rsidP="002979BC">
      <w:pPr>
        <w:spacing w:before="120" w:after="0" w:line="360" w:lineRule="auto"/>
        <w:jc w:val="center"/>
        <w:rPr>
          <w:rFonts w:ascii="Arial" w:eastAsia="Times New Roman" w:hAnsi="Arial" w:cs="Arial"/>
          <w:sz w:val="28"/>
          <w:szCs w:val="28"/>
          <w:lang w:val="en-GB"/>
        </w:rPr>
      </w:pPr>
      <w:r w:rsidRPr="004E37B8">
        <w:rPr>
          <w:rFonts w:ascii="Arial" w:eastAsia="Times New Roman" w:hAnsi="Arial" w:cs="Arial"/>
          <w:b/>
          <w:bCs/>
          <w:sz w:val="28"/>
          <w:szCs w:val="28"/>
          <w:lang w:val="en-GB"/>
        </w:rPr>
        <w:t>Hereby Decree the following Law:</w:t>
      </w:r>
    </w:p>
    <w:p w14:paraId="0B61FE8F" w14:textId="77777777" w:rsidR="004E37B8" w:rsidRPr="004E37B8" w:rsidRDefault="004E37B8" w:rsidP="002979BC">
      <w:pPr>
        <w:spacing w:before="120" w:after="0" w:line="360" w:lineRule="auto"/>
        <w:jc w:val="center"/>
        <w:rPr>
          <w:rFonts w:ascii="Arial" w:eastAsia="Times New Roman" w:hAnsi="Arial" w:cs="Arial"/>
          <w:sz w:val="28"/>
          <w:szCs w:val="28"/>
        </w:rPr>
      </w:pPr>
      <w:r w:rsidRPr="004E37B8">
        <w:rPr>
          <w:rFonts w:ascii="Arial" w:eastAsia="Times New Roman" w:hAnsi="Arial" w:cs="Arial"/>
          <w:b/>
          <w:bCs/>
          <w:sz w:val="28"/>
          <w:szCs w:val="28"/>
        </w:rPr>
        <w:t>Article One</w:t>
      </w:r>
    </w:p>
    <w:p w14:paraId="496F6D32" w14:textId="77777777" w:rsidR="004E37B8" w:rsidRPr="004E37B8" w:rsidRDefault="004E37B8" w:rsidP="002979BC">
      <w:pPr>
        <w:spacing w:before="120" w:after="0" w:line="360" w:lineRule="auto"/>
        <w:rPr>
          <w:rFonts w:ascii="Arial" w:eastAsia="Times New Roman" w:hAnsi="Arial" w:cs="Arial"/>
          <w:sz w:val="28"/>
          <w:szCs w:val="28"/>
          <w:lang w:val="en-GB"/>
        </w:rPr>
      </w:pPr>
      <w:r w:rsidRPr="004E37B8">
        <w:rPr>
          <w:rFonts w:ascii="Arial" w:eastAsia="Times New Roman" w:hAnsi="Arial" w:cs="Arial"/>
          <w:sz w:val="28"/>
          <w:szCs w:val="28"/>
          <w:lang w:val="en-GB"/>
        </w:rPr>
        <w:t>The text of Article (8) of the Civil and Commercial Proceedings Law of 1971 is amended as follows: </w:t>
      </w:r>
    </w:p>
    <w:p w14:paraId="52BCE850" w14:textId="77777777" w:rsidR="004E37B8" w:rsidRPr="004E37B8" w:rsidRDefault="004E37B8" w:rsidP="002979BC">
      <w:pPr>
        <w:spacing w:before="120" w:after="0" w:line="360" w:lineRule="auto"/>
        <w:rPr>
          <w:rFonts w:ascii="Arial" w:eastAsia="Times New Roman" w:hAnsi="Arial" w:cs="Arial"/>
          <w:sz w:val="28"/>
          <w:szCs w:val="28"/>
          <w:lang w:val="en-GB"/>
        </w:rPr>
      </w:pPr>
      <w:r w:rsidRPr="004E37B8">
        <w:rPr>
          <w:rFonts w:ascii="Arial" w:eastAsia="Times New Roman" w:hAnsi="Arial" w:cs="Arial"/>
          <w:sz w:val="28"/>
          <w:szCs w:val="28"/>
          <w:lang w:val="en-GB"/>
        </w:rPr>
        <w:t>(a) The text of clauses (1) and (6) of Article 8, as amended by Legislative Decree No. (8) of 1978, and Legislative Decree No. (9) of 1980 referred to above, shall be replaced by the following texts: </w:t>
      </w:r>
    </w:p>
    <w:p w14:paraId="3429140A" w14:textId="77777777" w:rsidR="004E37B8" w:rsidRPr="004E37B8" w:rsidRDefault="004E37B8" w:rsidP="002979BC">
      <w:pPr>
        <w:spacing w:before="120" w:after="0" w:line="360" w:lineRule="auto"/>
        <w:rPr>
          <w:rFonts w:ascii="Arial" w:eastAsia="Times New Roman" w:hAnsi="Arial" w:cs="Arial"/>
          <w:sz w:val="28"/>
          <w:szCs w:val="28"/>
          <w:lang w:val="en-GB"/>
        </w:rPr>
      </w:pPr>
      <w:r w:rsidRPr="004E37B8">
        <w:rPr>
          <w:rFonts w:ascii="Arial" w:eastAsia="Times New Roman" w:hAnsi="Arial" w:cs="Arial"/>
          <w:sz w:val="28"/>
          <w:szCs w:val="28"/>
          <w:lang w:val="en-GB"/>
        </w:rPr>
        <w:t>1- Civil and commercial lawsuits for which the value does not exceed five thousand Bahraini dinars. </w:t>
      </w:r>
    </w:p>
    <w:p w14:paraId="26F28858" w14:textId="77777777" w:rsidR="004E37B8" w:rsidRPr="004E37B8" w:rsidRDefault="004E37B8" w:rsidP="002979BC">
      <w:pPr>
        <w:spacing w:before="120" w:after="0" w:line="360" w:lineRule="auto"/>
        <w:rPr>
          <w:rFonts w:ascii="Arial" w:eastAsia="Times New Roman" w:hAnsi="Arial" w:cs="Arial"/>
          <w:sz w:val="28"/>
          <w:szCs w:val="28"/>
          <w:lang w:val="en-GB"/>
        </w:rPr>
      </w:pPr>
      <w:r w:rsidRPr="004E37B8">
        <w:rPr>
          <w:rFonts w:ascii="Arial" w:eastAsia="Times New Roman" w:hAnsi="Arial" w:cs="Arial"/>
          <w:sz w:val="28"/>
          <w:szCs w:val="28"/>
          <w:lang w:val="en-GB"/>
        </w:rPr>
        <w:t>6 - Lawsuits of vacating leased property, except if such lawsuits involve legal requests exceeding five thousand Bahraini dinars. </w:t>
      </w:r>
    </w:p>
    <w:p w14:paraId="41656119" w14:textId="77777777" w:rsidR="004E37B8" w:rsidRPr="004E37B8" w:rsidRDefault="004E37B8" w:rsidP="002979BC">
      <w:pPr>
        <w:spacing w:before="120" w:after="0" w:line="360" w:lineRule="auto"/>
        <w:rPr>
          <w:rFonts w:ascii="Arial" w:eastAsia="Times New Roman" w:hAnsi="Arial" w:cs="Arial"/>
          <w:sz w:val="28"/>
          <w:szCs w:val="28"/>
          <w:lang w:val="en-GB"/>
        </w:rPr>
      </w:pPr>
      <w:r w:rsidRPr="004E37B8">
        <w:rPr>
          <w:rFonts w:ascii="Arial" w:eastAsia="Times New Roman" w:hAnsi="Arial" w:cs="Arial"/>
          <w:sz w:val="28"/>
          <w:szCs w:val="28"/>
          <w:lang w:val="en-GB"/>
        </w:rPr>
        <w:t>b) Two new clauses numbered 9 and 10 are added to the above-mentioned article (8), as amended by Legislative Decree No. (8) of 1978, which read as follows: </w:t>
      </w:r>
    </w:p>
    <w:p w14:paraId="694AE0B5" w14:textId="77777777" w:rsidR="004E37B8" w:rsidRPr="004E37B8" w:rsidRDefault="004E37B8" w:rsidP="002979BC">
      <w:pPr>
        <w:spacing w:before="120" w:after="0" w:line="360" w:lineRule="auto"/>
        <w:rPr>
          <w:rFonts w:ascii="Arial" w:eastAsia="Times New Roman" w:hAnsi="Arial" w:cs="Arial"/>
          <w:sz w:val="28"/>
          <w:szCs w:val="28"/>
          <w:lang w:val="en-GB"/>
        </w:rPr>
      </w:pPr>
      <w:r w:rsidRPr="004E37B8">
        <w:rPr>
          <w:rFonts w:ascii="Arial" w:eastAsia="Times New Roman" w:hAnsi="Arial" w:cs="Arial"/>
          <w:sz w:val="28"/>
          <w:szCs w:val="28"/>
          <w:lang w:val="en-GB"/>
        </w:rPr>
        <w:t>9- Lawsuit requesting a change or correction of the name in official records and official documents. </w:t>
      </w:r>
    </w:p>
    <w:p w14:paraId="789B7DC8" w14:textId="77777777" w:rsidR="004E37B8" w:rsidRPr="004E37B8" w:rsidRDefault="004E37B8" w:rsidP="002979BC">
      <w:pPr>
        <w:spacing w:before="120" w:after="0" w:line="360" w:lineRule="auto"/>
        <w:rPr>
          <w:rFonts w:ascii="Arial" w:eastAsia="Times New Roman" w:hAnsi="Arial" w:cs="Arial"/>
          <w:sz w:val="28"/>
          <w:szCs w:val="28"/>
          <w:lang w:val="en-GB"/>
        </w:rPr>
      </w:pPr>
      <w:r w:rsidRPr="004E37B8">
        <w:rPr>
          <w:rFonts w:ascii="Arial" w:eastAsia="Times New Roman" w:hAnsi="Arial" w:cs="Arial"/>
          <w:sz w:val="28"/>
          <w:szCs w:val="28"/>
          <w:lang w:val="en-GB"/>
        </w:rPr>
        <w:t>10- Lawsuit requesting evidence of damage or loss of a real estate ownership document and the submission of other copies thereof. </w:t>
      </w:r>
    </w:p>
    <w:p w14:paraId="00354F6E" w14:textId="77777777" w:rsidR="004E37B8" w:rsidRPr="004E37B8" w:rsidRDefault="004E37B8" w:rsidP="002979BC">
      <w:pPr>
        <w:spacing w:before="120" w:after="0" w:line="360" w:lineRule="auto"/>
        <w:jc w:val="center"/>
        <w:rPr>
          <w:rFonts w:ascii="Arial" w:eastAsia="Times New Roman" w:hAnsi="Arial" w:cs="Arial"/>
          <w:sz w:val="28"/>
          <w:szCs w:val="28"/>
        </w:rPr>
      </w:pPr>
      <w:r w:rsidRPr="004E37B8">
        <w:rPr>
          <w:rFonts w:ascii="Arial" w:eastAsia="Times New Roman" w:hAnsi="Arial" w:cs="Arial"/>
          <w:b/>
          <w:bCs/>
          <w:sz w:val="28"/>
          <w:szCs w:val="28"/>
        </w:rPr>
        <w:t>Article Two</w:t>
      </w:r>
    </w:p>
    <w:p w14:paraId="1834E67C" w14:textId="77777777" w:rsidR="004E37B8" w:rsidRPr="004E37B8" w:rsidRDefault="004E37B8" w:rsidP="002979BC">
      <w:pPr>
        <w:spacing w:before="120" w:after="0" w:line="360" w:lineRule="auto"/>
        <w:rPr>
          <w:rFonts w:ascii="Arial" w:eastAsia="Times New Roman" w:hAnsi="Arial" w:cs="Arial"/>
          <w:sz w:val="28"/>
          <w:szCs w:val="28"/>
          <w:lang w:val="en-GB"/>
        </w:rPr>
      </w:pPr>
      <w:r w:rsidRPr="004E37B8">
        <w:rPr>
          <w:rFonts w:ascii="Arial" w:eastAsia="Times New Roman" w:hAnsi="Arial" w:cs="Arial"/>
          <w:sz w:val="28"/>
          <w:szCs w:val="28"/>
          <w:lang w:val="en-GB"/>
        </w:rPr>
        <w:t>The text of Article (13) of the Civil and Commercial Procedures Law of 1971, as amended by Legislative Decree No. 8 of 1978 and Legislative Decree No. 9 of 1980, is replaced by the following text: </w:t>
      </w:r>
    </w:p>
    <w:p w14:paraId="407AED61" w14:textId="77777777" w:rsidR="004E37B8" w:rsidRPr="004E37B8" w:rsidRDefault="004E37B8" w:rsidP="002979BC">
      <w:pPr>
        <w:spacing w:before="120" w:after="0" w:line="360" w:lineRule="auto"/>
        <w:rPr>
          <w:rFonts w:ascii="Arial" w:eastAsia="Times New Roman" w:hAnsi="Arial" w:cs="Arial"/>
          <w:sz w:val="28"/>
          <w:szCs w:val="28"/>
          <w:lang w:val="en-GB"/>
        </w:rPr>
      </w:pPr>
      <w:r w:rsidRPr="004E37B8">
        <w:rPr>
          <w:rFonts w:ascii="Arial" w:eastAsia="Times New Roman" w:hAnsi="Arial" w:cs="Arial"/>
          <w:sz w:val="28"/>
          <w:szCs w:val="28"/>
          <w:lang w:val="en-GB"/>
        </w:rPr>
        <w:t>The Lower Court is not competent to rule incidental requests if the amount is greater than five thousand Bahraini dinars. </w:t>
      </w:r>
    </w:p>
    <w:p w14:paraId="46F16B46" w14:textId="77777777" w:rsidR="004E37B8" w:rsidRPr="004E37B8" w:rsidRDefault="004E37B8" w:rsidP="002979BC">
      <w:pPr>
        <w:spacing w:before="120" w:after="0" w:line="360" w:lineRule="auto"/>
        <w:rPr>
          <w:rFonts w:ascii="Arial" w:eastAsia="Times New Roman" w:hAnsi="Arial" w:cs="Arial"/>
          <w:sz w:val="28"/>
          <w:szCs w:val="28"/>
          <w:lang w:val="en-GB"/>
        </w:rPr>
      </w:pPr>
      <w:r w:rsidRPr="004E37B8">
        <w:rPr>
          <w:rFonts w:ascii="Arial" w:eastAsia="Times New Roman" w:hAnsi="Arial" w:cs="Arial"/>
          <w:sz w:val="28"/>
          <w:szCs w:val="28"/>
          <w:lang w:val="en-GB"/>
        </w:rPr>
        <w:t>If the court receives such a request, it may only rule on the original lawsuit if it deems itself incompetent, to rule the referral on its own of the original lawsuit and the incidental requests to the High Court, </w:t>
      </w:r>
    </w:p>
    <w:p w14:paraId="36AD41F5" w14:textId="77777777" w:rsidR="004E37B8" w:rsidRPr="004E37B8" w:rsidRDefault="004E37B8" w:rsidP="002979BC">
      <w:pPr>
        <w:spacing w:before="120" w:after="0" w:line="360" w:lineRule="auto"/>
        <w:rPr>
          <w:rFonts w:ascii="Arial" w:eastAsia="Times New Roman" w:hAnsi="Arial" w:cs="Arial"/>
          <w:sz w:val="28"/>
          <w:szCs w:val="28"/>
          <w:lang w:val="en-GB"/>
        </w:rPr>
      </w:pPr>
      <w:r w:rsidRPr="004E37B8">
        <w:rPr>
          <w:rFonts w:ascii="Arial" w:eastAsia="Times New Roman" w:hAnsi="Arial" w:cs="Arial"/>
          <w:sz w:val="28"/>
          <w:szCs w:val="28"/>
          <w:lang w:val="en-GB"/>
        </w:rPr>
        <w:t>If a similar request or a lawsuit is presented before the High Court, the judgment will be given at the same time as the original request, even if the amount of the request or lawsuit is less than five thousand Bahraini dinars. </w:t>
      </w:r>
    </w:p>
    <w:p w14:paraId="2FC83291" w14:textId="77777777" w:rsidR="004E37B8" w:rsidRPr="004E37B8" w:rsidRDefault="004E37B8" w:rsidP="002979BC">
      <w:pPr>
        <w:spacing w:before="120" w:after="0" w:line="360" w:lineRule="auto"/>
        <w:jc w:val="center"/>
        <w:rPr>
          <w:rFonts w:ascii="Arial" w:eastAsia="Times New Roman" w:hAnsi="Arial" w:cs="Arial"/>
          <w:sz w:val="28"/>
          <w:szCs w:val="28"/>
        </w:rPr>
      </w:pPr>
      <w:r w:rsidRPr="004E37B8">
        <w:rPr>
          <w:rFonts w:ascii="Arial" w:eastAsia="Times New Roman" w:hAnsi="Arial" w:cs="Arial"/>
          <w:b/>
          <w:bCs/>
          <w:sz w:val="28"/>
          <w:szCs w:val="28"/>
        </w:rPr>
        <w:t>Article Three</w:t>
      </w:r>
    </w:p>
    <w:p w14:paraId="2E48A0FF" w14:textId="77777777" w:rsidR="004E37B8" w:rsidRPr="004E37B8" w:rsidRDefault="004E37B8" w:rsidP="002979BC">
      <w:pPr>
        <w:spacing w:before="120" w:after="0" w:line="360" w:lineRule="auto"/>
        <w:rPr>
          <w:rFonts w:ascii="Arial" w:eastAsia="Times New Roman" w:hAnsi="Arial" w:cs="Arial"/>
          <w:sz w:val="28"/>
          <w:szCs w:val="28"/>
          <w:lang w:val="en-GB"/>
        </w:rPr>
      </w:pPr>
      <w:r w:rsidRPr="004E37B8">
        <w:rPr>
          <w:rFonts w:ascii="Arial" w:eastAsia="Times New Roman" w:hAnsi="Arial" w:cs="Arial"/>
          <w:sz w:val="28"/>
          <w:szCs w:val="28"/>
          <w:lang w:val="en-GB"/>
        </w:rPr>
        <w:t>The High Court shall, on its own initiative, transfer the lawsuits before it to the jurisdiction of the Lower Court in accordance with the provisions of this law, insofar as they are in that situation. If one of the litigants is absent, the order of referral shall be notified to that party, who shall be required to appear before the Lower Court to which the lawsuit has been referred. </w:t>
      </w:r>
    </w:p>
    <w:p w14:paraId="33551295" w14:textId="77777777" w:rsidR="004E37B8" w:rsidRPr="004E37B8" w:rsidRDefault="004E37B8" w:rsidP="002979BC">
      <w:pPr>
        <w:spacing w:before="120" w:after="0" w:line="360" w:lineRule="auto"/>
        <w:rPr>
          <w:rFonts w:ascii="Arial" w:eastAsia="Times New Roman" w:hAnsi="Arial" w:cs="Arial"/>
          <w:sz w:val="28"/>
          <w:szCs w:val="28"/>
          <w:lang w:val="en-GB"/>
        </w:rPr>
      </w:pPr>
      <w:r w:rsidRPr="004E37B8">
        <w:rPr>
          <w:rFonts w:ascii="Arial" w:eastAsia="Times New Roman" w:hAnsi="Arial" w:cs="Arial"/>
          <w:sz w:val="28"/>
          <w:szCs w:val="28"/>
          <w:lang w:val="en-GB"/>
        </w:rPr>
        <w:t>The sentence of the previous provision does not apply to absentia lawsuits or lawsuits postponed for judgment, but they remain subject to the previous legal provisions. </w:t>
      </w:r>
    </w:p>
    <w:p w14:paraId="61B69D97" w14:textId="77777777" w:rsidR="004E37B8" w:rsidRPr="004E37B8" w:rsidRDefault="004E37B8" w:rsidP="002979BC">
      <w:pPr>
        <w:spacing w:before="120" w:after="0" w:line="360" w:lineRule="auto"/>
        <w:jc w:val="center"/>
        <w:rPr>
          <w:rFonts w:ascii="Arial" w:eastAsia="Times New Roman" w:hAnsi="Arial" w:cs="Arial"/>
          <w:sz w:val="28"/>
          <w:szCs w:val="28"/>
        </w:rPr>
      </w:pPr>
      <w:r w:rsidRPr="004E37B8">
        <w:rPr>
          <w:rFonts w:ascii="Arial" w:eastAsia="Times New Roman" w:hAnsi="Arial" w:cs="Arial"/>
          <w:b/>
          <w:bCs/>
          <w:sz w:val="28"/>
          <w:szCs w:val="28"/>
        </w:rPr>
        <w:t>Article Four</w:t>
      </w:r>
    </w:p>
    <w:p w14:paraId="35C8A44A" w14:textId="77777777" w:rsidR="004E37B8" w:rsidRPr="004E37B8" w:rsidRDefault="004E37B8" w:rsidP="002979BC">
      <w:pPr>
        <w:spacing w:before="120" w:after="0" w:line="360" w:lineRule="auto"/>
        <w:rPr>
          <w:rFonts w:ascii="Arial" w:eastAsia="Times New Roman" w:hAnsi="Arial" w:cs="Arial"/>
          <w:sz w:val="28"/>
          <w:szCs w:val="28"/>
          <w:lang w:val="en-GB"/>
        </w:rPr>
      </w:pPr>
      <w:r w:rsidRPr="004E37B8">
        <w:rPr>
          <w:rFonts w:ascii="Arial" w:eastAsia="Times New Roman" w:hAnsi="Arial" w:cs="Arial"/>
          <w:sz w:val="28"/>
          <w:szCs w:val="28"/>
          <w:lang w:val="en-GB"/>
        </w:rPr>
        <w:t>The Minister of Justice and Islamic Affairs shall implement this Law, and it shall come into force from the date of its publication in the Official Gazette. </w:t>
      </w:r>
    </w:p>
    <w:p w14:paraId="6D537D14" w14:textId="77777777" w:rsidR="004E37B8" w:rsidRPr="004E37B8" w:rsidRDefault="004E37B8" w:rsidP="002979BC">
      <w:pPr>
        <w:spacing w:before="120" w:after="0" w:line="360" w:lineRule="auto"/>
        <w:jc w:val="right"/>
        <w:rPr>
          <w:rFonts w:ascii="Arial" w:eastAsia="Times New Roman" w:hAnsi="Arial" w:cs="Arial"/>
          <w:b/>
          <w:bCs/>
          <w:sz w:val="28"/>
          <w:szCs w:val="28"/>
          <w:lang w:val="en-GB"/>
        </w:rPr>
      </w:pPr>
      <w:r w:rsidRPr="004E37B8">
        <w:rPr>
          <w:rFonts w:ascii="Arial" w:eastAsia="Times New Roman" w:hAnsi="Arial" w:cs="Arial"/>
          <w:b/>
          <w:bCs/>
          <w:sz w:val="28"/>
          <w:szCs w:val="28"/>
          <w:lang w:val="en-GB"/>
        </w:rPr>
        <w:t>Emir of the State of Bahrain </w:t>
      </w:r>
    </w:p>
    <w:p w14:paraId="36F24C12" w14:textId="77777777" w:rsidR="004E37B8" w:rsidRPr="004E37B8" w:rsidRDefault="004E37B8" w:rsidP="002979BC">
      <w:pPr>
        <w:spacing w:before="120" w:after="0" w:line="360" w:lineRule="auto"/>
        <w:jc w:val="right"/>
        <w:rPr>
          <w:rFonts w:ascii="Arial" w:eastAsia="Times New Roman" w:hAnsi="Arial" w:cs="Arial"/>
          <w:sz w:val="28"/>
          <w:szCs w:val="28"/>
          <w:lang w:val="en-GB"/>
        </w:rPr>
      </w:pPr>
      <w:r w:rsidRPr="004E37B8">
        <w:rPr>
          <w:rFonts w:ascii="Arial" w:eastAsia="Times New Roman" w:hAnsi="Arial" w:cs="Arial"/>
          <w:b/>
          <w:bCs/>
          <w:sz w:val="28"/>
          <w:szCs w:val="28"/>
          <w:lang w:val="en-GB"/>
        </w:rPr>
        <w:t>Isa bin Salman Al Khalifa </w:t>
      </w:r>
    </w:p>
    <w:p w14:paraId="085D2649" w14:textId="77777777" w:rsidR="004E37B8" w:rsidRPr="004E37B8" w:rsidRDefault="004E37B8" w:rsidP="002979BC">
      <w:pPr>
        <w:spacing w:before="120" w:after="0" w:line="360" w:lineRule="auto"/>
        <w:rPr>
          <w:rFonts w:ascii="Arial" w:eastAsia="Times New Roman" w:hAnsi="Arial" w:cs="Arial"/>
          <w:sz w:val="28"/>
          <w:szCs w:val="28"/>
        </w:rPr>
      </w:pPr>
      <w:r w:rsidRPr="004E37B8">
        <w:rPr>
          <w:rFonts w:ascii="Arial" w:eastAsia="Times New Roman" w:hAnsi="Arial" w:cs="Arial"/>
          <w:b/>
          <w:bCs/>
          <w:sz w:val="28"/>
          <w:szCs w:val="28"/>
        </w:rPr>
        <w:t>Issued at Riffa Palace </w:t>
      </w:r>
    </w:p>
    <w:p w14:paraId="78926687" w14:textId="77777777" w:rsidR="004E37B8" w:rsidRPr="004E37B8" w:rsidRDefault="004E37B8" w:rsidP="002979BC">
      <w:pPr>
        <w:spacing w:before="120" w:after="0" w:line="360" w:lineRule="auto"/>
        <w:rPr>
          <w:rFonts w:ascii="Arial" w:eastAsia="Times New Roman" w:hAnsi="Arial" w:cs="Arial"/>
          <w:sz w:val="28"/>
          <w:szCs w:val="28"/>
        </w:rPr>
      </w:pPr>
      <w:r w:rsidRPr="004E37B8">
        <w:rPr>
          <w:rFonts w:ascii="Arial" w:eastAsia="Times New Roman" w:hAnsi="Arial" w:cs="Arial"/>
          <w:sz w:val="28"/>
          <w:szCs w:val="28"/>
        </w:rPr>
        <w:t>Issued at Riffa Palace </w:t>
      </w:r>
    </w:p>
    <w:p w14:paraId="23744919" w14:textId="77777777" w:rsidR="004E37B8" w:rsidRPr="004E37B8" w:rsidRDefault="004E37B8" w:rsidP="002979BC">
      <w:pPr>
        <w:spacing w:before="120" w:after="0" w:line="360" w:lineRule="auto"/>
        <w:rPr>
          <w:rFonts w:ascii="Arial" w:eastAsia="Times New Roman" w:hAnsi="Arial" w:cs="Arial"/>
          <w:sz w:val="28"/>
          <w:szCs w:val="28"/>
        </w:rPr>
      </w:pPr>
      <w:r w:rsidRPr="004E37B8">
        <w:rPr>
          <w:rFonts w:ascii="Arial" w:eastAsia="Times New Roman" w:hAnsi="Arial" w:cs="Arial"/>
          <w:sz w:val="28"/>
          <w:szCs w:val="28"/>
        </w:rPr>
        <w:t>On: 14 Dhu al-Qi'dah 1405 A.H. </w:t>
      </w:r>
    </w:p>
    <w:p w14:paraId="3F2507E4" w14:textId="77777777" w:rsidR="004E37B8" w:rsidRPr="004E37B8" w:rsidRDefault="004E37B8" w:rsidP="002979BC">
      <w:pPr>
        <w:spacing w:before="120" w:after="0" w:line="360" w:lineRule="auto"/>
        <w:rPr>
          <w:rFonts w:ascii="Arial" w:eastAsia="Times New Roman" w:hAnsi="Arial" w:cs="Arial"/>
          <w:sz w:val="28"/>
          <w:szCs w:val="28"/>
        </w:rPr>
      </w:pPr>
      <w:r w:rsidRPr="004E37B8">
        <w:rPr>
          <w:rFonts w:ascii="Arial" w:eastAsia="Times New Roman" w:hAnsi="Arial" w:cs="Arial"/>
          <w:sz w:val="28"/>
          <w:szCs w:val="28"/>
        </w:rPr>
        <w:t>Corresponding to: 1 August 1985 </w:t>
      </w:r>
    </w:p>
    <w:p w14:paraId="0AAC9E6E" w14:textId="77777777" w:rsidR="004E37B8" w:rsidRPr="004E37B8" w:rsidRDefault="004E37B8" w:rsidP="002979BC">
      <w:pPr>
        <w:spacing w:before="120" w:after="0" w:line="360" w:lineRule="auto"/>
        <w:rPr>
          <w:rFonts w:ascii="Arial" w:eastAsia="Times New Roman" w:hAnsi="Arial" w:cs="Arial"/>
          <w:b/>
          <w:bCs/>
          <w:sz w:val="28"/>
          <w:szCs w:val="28"/>
        </w:rPr>
      </w:pPr>
    </w:p>
    <w:p w14:paraId="1B46AB51" w14:textId="77777777" w:rsidR="004E37B8" w:rsidRPr="004E37B8" w:rsidRDefault="004E37B8" w:rsidP="002979BC">
      <w:pPr>
        <w:spacing w:before="120" w:after="0" w:line="360" w:lineRule="auto"/>
        <w:rPr>
          <w:rFonts w:ascii="Arial" w:hAnsi="Arial" w:cs="Arial"/>
          <w:sz w:val="28"/>
          <w:szCs w:val="28"/>
        </w:rPr>
      </w:pPr>
    </w:p>
    <w:sectPr w:rsidR="004E37B8" w:rsidRPr="004E37B8" w:rsidSect="0061240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D807C" w14:textId="77777777" w:rsidR="000B5B8A" w:rsidRDefault="000B5B8A">
      <w:pPr>
        <w:spacing w:after="0" w:line="240" w:lineRule="auto"/>
      </w:pPr>
      <w:r>
        <w:separator/>
      </w:r>
    </w:p>
  </w:endnote>
  <w:endnote w:type="continuationSeparator" w:id="0">
    <w:p w14:paraId="3CC28B4E" w14:textId="77777777" w:rsidR="000B5B8A" w:rsidRDefault="000B5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1C398" w14:textId="77777777" w:rsidR="000B5B8A" w:rsidRDefault="000B5B8A">
      <w:pPr>
        <w:spacing w:after="0" w:line="240" w:lineRule="auto"/>
      </w:pPr>
      <w:r>
        <w:separator/>
      </w:r>
    </w:p>
  </w:footnote>
  <w:footnote w:type="continuationSeparator" w:id="0">
    <w:p w14:paraId="58556F03" w14:textId="77777777" w:rsidR="000B5B8A" w:rsidRDefault="000B5B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25E"/>
    <w:rsid w:val="000129C5"/>
    <w:rsid w:val="000B5B8A"/>
    <w:rsid w:val="001E5D49"/>
    <w:rsid w:val="002979BC"/>
    <w:rsid w:val="004A431F"/>
    <w:rsid w:val="004E37B8"/>
    <w:rsid w:val="00521F4E"/>
    <w:rsid w:val="0061240C"/>
    <w:rsid w:val="00815AD9"/>
    <w:rsid w:val="00A33147"/>
    <w:rsid w:val="00B3038D"/>
    <w:rsid w:val="00BA625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C7127"/>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sz w:val="20"/>
      <w:szCs w:val="20"/>
    </w:rPr>
  </w:style>
  <w:style w:type="paragraph" w:styleId="Revision">
    <w:name w:val="Revision"/>
    <w:uiPriority w:val="99"/>
    <w:semiHidden/>
    <w:rPr>
      <w:sz w:val="22"/>
      <w:szCs w:val="22"/>
    </w:rPr>
  </w:style>
  <w:style w:type="character" w:styleId="FootnoteReference">
    <w:name w:val="footnote reference"/>
    <w:basedOn w:val="DefaultParagraphFont"/>
    <w:uiPriority w:val="99"/>
    <w:semiHidden/>
    <w:unhideWhenUsed/>
    <w:rPr>
      <w:vertAlign w:val="superscript"/>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0886E-0363-417B-B098-2284BA466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555</Words>
  <Characters>3166</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2024-05-14T09:24:00Z</dcterms:created>
  <dcterms:modified xsi:type="dcterms:W3CDTF">2024-05-20T20:36:00Z</dcterms:modified>
</cp:coreProperties>
</file>