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A7729" w14:textId="77777777" w:rsidR="004D336A" w:rsidRPr="004D336A" w:rsidRDefault="004D336A" w:rsidP="00584123">
      <w:pPr>
        <w:spacing w:before="120" w:after="0" w:line="360" w:lineRule="auto"/>
        <w:rPr>
          <w:rFonts w:ascii="Arial" w:eastAsia="Times New Roman" w:hAnsi="Arial" w:cs="Arial"/>
          <w:sz w:val="28"/>
          <w:szCs w:val="28"/>
        </w:rPr>
      </w:pPr>
      <w:r w:rsidRPr="004D336A">
        <w:rPr>
          <w:rFonts w:ascii="Arial" w:eastAsia="Times New Roman" w:hAnsi="Arial" w:cs="Arial"/>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F1A2F2B" w14:textId="77777777" w:rsidR="004D336A" w:rsidRPr="004D336A" w:rsidRDefault="004D336A" w:rsidP="00584123">
      <w:pPr>
        <w:spacing w:before="120" w:after="0" w:line="360" w:lineRule="auto"/>
        <w:rPr>
          <w:rFonts w:ascii="Arial" w:eastAsia="Times New Roman" w:hAnsi="Arial" w:cs="Arial"/>
          <w:sz w:val="28"/>
          <w:szCs w:val="28"/>
        </w:rPr>
      </w:pPr>
      <w:r w:rsidRPr="004D336A">
        <w:rPr>
          <w:rFonts w:ascii="Arial" w:eastAsia="Times New Roman" w:hAnsi="Arial" w:cs="Arial"/>
          <w:sz w:val="28"/>
          <w:szCs w:val="28"/>
        </w:rPr>
        <w:t>For any corrections, remarks, or suggestions, kindly contact us on translate@lloc.gov.bh</w:t>
      </w:r>
    </w:p>
    <w:p w14:paraId="0A906535" w14:textId="77777777" w:rsidR="004D336A" w:rsidRPr="004D336A" w:rsidRDefault="004D336A" w:rsidP="00584123">
      <w:pPr>
        <w:spacing w:before="120" w:after="0" w:line="360" w:lineRule="auto"/>
        <w:rPr>
          <w:rFonts w:ascii="Arial" w:eastAsia="Times New Roman" w:hAnsi="Arial" w:cs="Arial"/>
          <w:sz w:val="28"/>
          <w:szCs w:val="28"/>
        </w:rPr>
      </w:pPr>
      <w:r w:rsidRPr="004D336A">
        <w:rPr>
          <w:rFonts w:ascii="Arial" w:eastAsia="Times New Roman" w:hAnsi="Arial" w:cs="Arial"/>
          <w:sz w:val="28"/>
          <w:szCs w:val="28"/>
        </w:rPr>
        <w:t>Published on the website on May 2024</w:t>
      </w:r>
      <w:r w:rsidRPr="004D336A">
        <w:rPr>
          <w:rFonts w:ascii="Arial" w:eastAsia="Times New Roman" w:hAnsi="Arial" w:cs="Arial"/>
          <w:sz w:val="28"/>
          <w:szCs w:val="28"/>
        </w:rPr>
        <w:br w:type="page"/>
      </w:r>
    </w:p>
    <w:p w14:paraId="60875AE6" w14:textId="77777777" w:rsidR="004D336A" w:rsidRPr="004D336A" w:rsidRDefault="004D336A" w:rsidP="00584123">
      <w:pPr>
        <w:spacing w:before="120" w:after="0" w:line="360" w:lineRule="auto"/>
        <w:rPr>
          <w:rFonts w:ascii="Arial" w:eastAsia="Times New Roman" w:hAnsi="Arial" w:cs="Arial"/>
          <w:sz w:val="28"/>
          <w:szCs w:val="28"/>
        </w:rPr>
      </w:pPr>
    </w:p>
    <w:p w14:paraId="43B70FAF" w14:textId="77777777" w:rsidR="004D336A" w:rsidRPr="004D336A" w:rsidRDefault="004D336A" w:rsidP="00584123">
      <w:pPr>
        <w:spacing w:before="120" w:after="0" w:line="360" w:lineRule="auto"/>
        <w:jc w:val="center"/>
        <w:rPr>
          <w:rFonts w:ascii="Arial" w:eastAsia="Times New Roman" w:hAnsi="Arial" w:cs="Arial"/>
          <w:sz w:val="28"/>
          <w:szCs w:val="28"/>
          <w:lang w:val="en-GB"/>
        </w:rPr>
      </w:pPr>
      <w:r w:rsidRPr="004D336A">
        <w:rPr>
          <w:rFonts w:ascii="Arial" w:eastAsia="Times New Roman" w:hAnsi="Arial" w:cs="Arial"/>
          <w:b/>
          <w:bCs/>
          <w:sz w:val="28"/>
          <w:szCs w:val="28"/>
          <w:lang w:val="en-GB"/>
        </w:rPr>
        <w:t>Legislative Decree No. (77) of 2006 amending certain provisions of Attorney Law promulgated by the Legislative Decree No. (26) of 1980</w:t>
      </w:r>
    </w:p>
    <w:p w14:paraId="60E17627" w14:textId="77777777" w:rsidR="004D336A" w:rsidRPr="004D336A" w:rsidRDefault="004D336A" w:rsidP="00584123">
      <w:pPr>
        <w:spacing w:before="120" w:after="0" w:line="360" w:lineRule="auto"/>
        <w:rPr>
          <w:rFonts w:ascii="Arial" w:eastAsia="Times New Roman" w:hAnsi="Arial" w:cs="Arial"/>
          <w:b/>
          <w:bCs/>
          <w:sz w:val="28"/>
          <w:szCs w:val="28"/>
          <w:lang w:val="en-GB"/>
        </w:rPr>
      </w:pPr>
      <w:r w:rsidRPr="004D336A">
        <w:rPr>
          <w:rFonts w:ascii="Arial" w:eastAsia="Times New Roman" w:hAnsi="Arial" w:cs="Arial"/>
          <w:b/>
          <w:bCs/>
          <w:sz w:val="28"/>
          <w:szCs w:val="28"/>
          <w:lang w:val="en-GB"/>
        </w:rPr>
        <w:br w:type="page"/>
      </w:r>
    </w:p>
    <w:p w14:paraId="447E9E3E"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b/>
          <w:bCs/>
          <w:sz w:val="28"/>
          <w:szCs w:val="28"/>
          <w:lang w:val="en-GB"/>
        </w:rPr>
        <w:t>We, Hamad bin Isa Al Khalifa King of the Kingdom of Bahrain. </w:t>
      </w:r>
    </w:p>
    <w:p w14:paraId="488995D4"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sz w:val="28"/>
          <w:szCs w:val="28"/>
          <w:lang w:val="en-GB"/>
        </w:rPr>
        <w:t>Having reviewed the Constitution, in particular Article (38) thereof; </w:t>
      </w:r>
    </w:p>
    <w:p w14:paraId="6145AFAB"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sz w:val="28"/>
          <w:szCs w:val="28"/>
          <w:lang w:val="en-GB"/>
        </w:rPr>
        <w:t>Lawyering Law promulgated by the Legislative Decree No. (26) of 1980 as amended; </w:t>
      </w:r>
    </w:p>
    <w:p w14:paraId="4971222A"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sz w:val="28"/>
          <w:szCs w:val="28"/>
          <w:lang w:val="en-GB"/>
        </w:rPr>
        <w:t>Cassation Court Law promulgated by Legislative Decree No. (8) of 1989; </w:t>
      </w:r>
    </w:p>
    <w:p w14:paraId="14388671"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sz w:val="28"/>
          <w:szCs w:val="28"/>
          <w:lang w:val="en-GB"/>
        </w:rPr>
        <w:t>And upon the submission of the Minister of Justice; </w:t>
      </w:r>
    </w:p>
    <w:p w14:paraId="578A6714"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sz w:val="28"/>
          <w:szCs w:val="28"/>
          <w:lang w:val="en-GB"/>
        </w:rPr>
        <w:t>And after the approval of the Council of Ministers; </w:t>
      </w:r>
    </w:p>
    <w:p w14:paraId="73A155C9"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b/>
          <w:bCs/>
          <w:sz w:val="28"/>
          <w:szCs w:val="28"/>
          <w:lang w:val="en-GB"/>
        </w:rPr>
        <w:t>Hereby Decree the following Law: </w:t>
      </w:r>
    </w:p>
    <w:p w14:paraId="0F64F2F6"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b/>
          <w:bCs/>
          <w:sz w:val="28"/>
          <w:szCs w:val="28"/>
          <w:lang w:val="en-GB"/>
        </w:rPr>
        <w:t>Article One </w:t>
      </w:r>
    </w:p>
    <w:p w14:paraId="2EC9936C"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sz w:val="28"/>
          <w:szCs w:val="28"/>
          <w:lang w:val="en-GB"/>
        </w:rPr>
        <w:t>The texts of Article (19) of the Attorney Law promulgated by Legislative Decree No. (26) of 1980 shall be replaced by the following texts: </w:t>
      </w:r>
    </w:p>
    <w:p w14:paraId="062957BA"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sz w:val="28"/>
          <w:szCs w:val="28"/>
          <w:lang w:val="en-GB"/>
        </w:rPr>
        <w:t>"Without prejudice to the provisions of Article (20), Attorneys are the only persons entitled to appear on behalf of the interested parties, before courts, arbitration institutions, police departments, and judicial Administrative committees of judicial competence. </w:t>
      </w:r>
    </w:p>
    <w:p w14:paraId="7B17249A"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sz w:val="28"/>
          <w:szCs w:val="28"/>
          <w:lang w:val="en-GB"/>
        </w:rPr>
        <w:t>And taking into account the relevant agreements in force in the Kingdom of Bahrain, it is permissible, by a decision of the Minister of Justice, to authorize foreign legal consulting offices with specialized international expertise that are not sufficiently available and that the country needs to work in the Kingdom of Bahrain to practice fatwas and give legal advice according to the following conditions: </w:t>
      </w:r>
    </w:p>
    <w:p w14:paraId="41E42454"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sz w:val="28"/>
          <w:szCs w:val="28"/>
          <w:lang w:val="en-GB"/>
        </w:rPr>
        <w:t>1- The foreign legal consultancy office must have a responsible director residing in the Kingdom, and this manager must have legal qualifications and experience commensurate with the level and location of the office, and the director must be authorized by the main office to manage the office’s branch in the Kingdom. </w:t>
      </w:r>
    </w:p>
    <w:p w14:paraId="68527212"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sz w:val="28"/>
          <w:szCs w:val="28"/>
          <w:lang w:val="en-GB"/>
        </w:rPr>
        <w:t>2- The office should not give a fatwa or legal advice in a matter directly related to the laws of the Kingdom without being audited by one of the lawyers registered in the “Attorneys Bar before the Cassation Court” in order to verify its compatibility with these laws, and the foreign legal consulting office must keep within his records what proves this observance. </w:t>
      </w:r>
    </w:p>
    <w:p w14:paraId="3DEF0849"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sz w:val="28"/>
          <w:szCs w:val="28"/>
          <w:lang w:val="en-GB"/>
        </w:rPr>
        <w:t>The provisions of Chapter six of this law apply to the foreign legal consulting offices referred to in this article, and the license is for a period of five years, renewable for similar periods, and these offices are registered in a special schedule prepared for this purpose, the regulations issued by a decision of the Minister of Justice after the approval of the Council of Ministers determine the conditions, procedures, licensing fees, and registration in the roll for those offices. </w:t>
      </w:r>
    </w:p>
    <w:p w14:paraId="161DBA01"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sz w:val="28"/>
          <w:szCs w:val="28"/>
          <w:lang w:val="en-GB"/>
        </w:rPr>
        <w:t>Only licensed foreign lawyers and legal consultancy offices may regularly practice fatwas, give legal advice, or carry out any legal work or procedure for others."  </w:t>
      </w:r>
    </w:p>
    <w:p w14:paraId="0D7577E8"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b/>
          <w:bCs/>
          <w:sz w:val="28"/>
          <w:szCs w:val="28"/>
          <w:lang w:val="en-GB"/>
        </w:rPr>
        <w:t>Article Two </w:t>
      </w:r>
    </w:p>
    <w:p w14:paraId="6E85B3F4"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sz w:val="28"/>
          <w:szCs w:val="28"/>
          <w:lang w:val="en-GB"/>
        </w:rPr>
        <w:t>The provisions of this law apply to foreign legal consulting offices licensed at the time of its enforcement, provided that they settle their positions in accordance with its provisions within six months from the date of its implementation. </w:t>
      </w:r>
    </w:p>
    <w:p w14:paraId="1A558C15"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b/>
          <w:bCs/>
          <w:sz w:val="28"/>
          <w:szCs w:val="28"/>
          <w:lang w:val="en-GB"/>
        </w:rPr>
        <w:t>Article Three </w:t>
      </w:r>
    </w:p>
    <w:p w14:paraId="5EEBBF98"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sz w:val="28"/>
          <w:szCs w:val="28"/>
          <w:lang w:val="en-GB"/>
        </w:rPr>
        <w:t>The Ministers- each within his jurisdiction- shall implement- the provisions of this Law, and it shall come into force from the day following the date of its publication in the Official Gazette. </w:t>
      </w:r>
    </w:p>
    <w:p w14:paraId="15220C61"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b/>
          <w:bCs/>
          <w:sz w:val="28"/>
          <w:szCs w:val="28"/>
          <w:lang w:val="en-GB"/>
        </w:rPr>
        <w:t>King of the Kingdom of Bahrain </w:t>
      </w:r>
    </w:p>
    <w:p w14:paraId="564196C4"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b/>
          <w:bCs/>
          <w:sz w:val="28"/>
          <w:szCs w:val="28"/>
          <w:lang w:val="en-GB"/>
        </w:rPr>
        <w:t>Hamad bin Isa Al Khalifa, </w:t>
      </w:r>
    </w:p>
    <w:p w14:paraId="2D41B984"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b/>
          <w:bCs/>
          <w:sz w:val="28"/>
          <w:szCs w:val="28"/>
          <w:lang w:val="en-GB"/>
        </w:rPr>
        <w:t>Prime Minister </w:t>
      </w:r>
    </w:p>
    <w:p w14:paraId="4D76CE66"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b/>
          <w:bCs/>
          <w:sz w:val="28"/>
          <w:szCs w:val="28"/>
          <w:lang w:val="en-GB"/>
        </w:rPr>
        <w:t>Khalifa bin Salman Al Khalifa </w:t>
      </w:r>
    </w:p>
    <w:p w14:paraId="61D909E7"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b/>
          <w:bCs/>
          <w:sz w:val="28"/>
          <w:szCs w:val="28"/>
          <w:lang w:val="en-GB"/>
        </w:rPr>
        <w:t>Minister of Justice </w:t>
      </w:r>
    </w:p>
    <w:p w14:paraId="5E5DBD81"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b/>
          <w:bCs/>
          <w:sz w:val="28"/>
          <w:szCs w:val="28"/>
          <w:lang w:val="en-GB"/>
        </w:rPr>
        <w:t>Dr. Mohammed Ali bin Al-Shaikh Mansour Al-Sitri </w:t>
      </w:r>
    </w:p>
    <w:p w14:paraId="4D3BEEDB"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b/>
          <w:bCs/>
          <w:sz w:val="28"/>
          <w:szCs w:val="28"/>
          <w:lang w:val="en-GB"/>
        </w:rPr>
        <w:t>Issued at Riffa Palace: </w:t>
      </w:r>
    </w:p>
    <w:p w14:paraId="0F471E1B"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b/>
          <w:bCs/>
          <w:sz w:val="28"/>
          <w:szCs w:val="28"/>
          <w:lang w:val="en-GB"/>
        </w:rPr>
        <w:t>On: 1 Dhu al-Qi'dah 1427 A.H. </w:t>
      </w:r>
    </w:p>
    <w:p w14:paraId="365A9D6B" w14:textId="77777777" w:rsidR="004D336A" w:rsidRPr="004D336A" w:rsidRDefault="004D336A" w:rsidP="00584123">
      <w:pPr>
        <w:spacing w:before="120" w:after="0" w:line="360" w:lineRule="auto"/>
        <w:rPr>
          <w:rFonts w:ascii="Arial" w:eastAsia="Times New Roman" w:hAnsi="Arial" w:cs="Arial"/>
          <w:sz w:val="28"/>
          <w:szCs w:val="28"/>
          <w:lang w:val="en-GB"/>
        </w:rPr>
      </w:pPr>
      <w:r w:rsidRPr="004D336A">
        <w:rPr>
          <w:rFonts w:ascii="Arial" w:eastAsia="Times New Roman" w:hAnsi="Arial" w:cs="Arial"/>
          <w:b/>
          <w:bCs/>
          <w:sz w:val="28"/>
          <w:szCs w:val="28"/>
          <w:lang w:val="en-GB"/>
        </w:rPr>
        <w:t>Corresponding to: 22 November 2006 </w:t>
      </w:r>
    </w:p>
    <w:p w14:paraId="4D55E0C5" w14:textId="77777777" w:rsidR="004D336A" w:rsidRPr="004D336A" w:rsidRDefault="004D336A" w:rsidP="00584123">
      <w:pPr>
        <w:spacing w:before="120" w:after="0" w:line="360" w:lineRule="auto"/>
        <w:rPr>
          <w:rFonts w:ascii="Arial" w:eastAsia="Times New Roman" w:hAnsi="Arial" w:cs="Arial"/>
          <w:b/>
          <w:bCs/>
          <w:sz w:val="28"/>
          <w:szCs w:val="28"/>
        </w:rPr>
      </w:pPr>
    </w:p>
    <w:p w14:paraId="729CC9AB" w14:textId="77777777" w:rsidR="004D336A" w:rsidRPr="004D336A" w:rsidRDefault="004D336A" w:rsidP="00584123">
      <w:pPr>
        <w:spacing w:before="120" w:after="0" w:line="360" w:lineRule="auto"/>
        <w:rPr>
          <w:rFonts w:ascii="Arial" w:hAnsi="Arial" w:cs="Arial"/>
          <w:sz w:val="28"/>
          <w:szCs w:val="28"/>
        </w:rPr>
      </w:pPr>
    </w:p>
    <w:sectPr w:rsidR="004D336A" w:rsidRPr="004D336A" w:rsidSect="003554E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C37F0" w14:textId="77777777" w:rsidR="004D336A" w:rsidRDefault="004D336A">
      <w:pPr>
        <w:spacing w:after="0" w:line="240" w:lineRule="auto"/>
      </w:pPr>
      <w:r>
        <w:separator/>
      </w:r>
    </w:p>
  </w:endnote>
  <w:endnote w:type="continuationSeparator" w:id="0">
    <w:p w14:paraId="65FC004F" w14:textId="77777777" w:rsidR="004D336A" w:rsidRDefault="004D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B7668" w14:textId="77777777" w:rsidR="004D336A" w:rsidRDefault="004D3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D2D62" w14:textId="77777777" w:rsidR="004D336A" w:rsidRDefault="004D3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9C61D" w14:textId="77777777" w:rsidR="004D336A" w:rsidRDefault="004D3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22191" w14:textId="77777777" w:rsidR="004D336A" w:rsidRDefault="004D336A">
      <w:pPr>
        <w:spacing w:after="0" w:line="240" w:lineRule="auto"/>
      </w:pPr>
      <w:r>
        <w:separator/>
      </w:r>
    </w:p>
  </w:footnote>
  <w:footnote w:type="continuationSeparator" w:id="0">
    <w:p w14:paraId="4433C0D2" w14:textId="77777777" w:rsidR="004D336A" w:rsidRDefault="004D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BE1D7" w14:textId="77777777" w:rsidR="004D336A" w:rsidRDefault="004D3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3CB500CD5D2A4D02BF24513917F78EE0"/>
      </w:placeholder>
      <w:temporary/>
      <w:showingPlcHdr/>
    </w:sdtPr>
    <w:sdtEndPr/>
    <w:sdtContent>
      <w:p w14:paraId="2C405432" w14:textId="77777777" w:rsidR="004D336A" w:rsidRDefault="004D336A">
        <w:pPr>
          <w:pStyle w:val="Header"/>
        </w:pPr>
        <w:r>
          <w:t>[Type here]</w:t>
        </w:r>
      </w:p>
    </w:sdtContent>
  </w:sdt>
  <w:p w14:paraId="3AEAD137" w14:textId="77777777" w:rsidR="004D336A" w:rsidRDefault="004D3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F1DF9" w14:textId="77777777" w:rsidR="004D336A" w:rsidRDefault="004D33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13"/>
    <w:rsid w:val="000129C5"/>
    <w:rsid w:val="001D1C13"/>
    <w:rsid w:val="003554E7"/>
    <w:rsid w:val="00435380"/>
    <w:rsid w:val="004D336A"/>
    <w:rsid w:val="00584123"/>
    <w:rsid w:val="00C2421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A3F14"/>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CB500CD5D2A4D02BF24513917F78EE0"/>
        <w:category>
          <w:name w:val="General"/>
          <w:gallery w:val="placeholder"/>
        </w:category>
        <w:types>
          <w:type w:val="bbPlcHdr"/>
        </w:types>
        <w:behaviors>
          <w:behavior w:val="content"/>
        </w:behaviors>
        <w:guid w:val="{AE7B8308-EAEC-4DB9-9057-606D988731BE}"/>
      </w:docPartPr>
      <w:docPartBody>
        <w:p w:rsidR="00881266" w:rsidRDefault="00881266">
          <w:pPr>
            <w:pStyle w:val="3CB500CD5D2A4D02BF24513917F78EE0"/>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66"/>
    <w:rsid w:val="000129C5"/>
    <w:rsid w:val="001D1C13"/>
    <w:rsid w:val="00435380"/>
    <w:rsid w:val="008812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B500CD5D2A4D02BF24513917F78EE0">
    <w:name w:val="3CB500CD5D2A4D02BF24513917F78EE0"/>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